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F28DE" w14:textId="77777777" w:rsidR="00A643CC" w:rsidRDefault="00A643CC" w:rsidP="00F37D51">
      <w:pPr>
        <w:rPr>
          <w:rFonts w:ascii="Segoe UI Emoji" w:hAnsi="Segoe UI Emoji" w:cs="Segoe UI Emoji"/>
          <w:b/>
          <w:bCs/>
          <w:highlight w:val="yellow"/>
        </w:rPr>
      </w:pPr>
    </w:p>
    <w:p w14:paraId="6AD7F4D7" w14:textId="19AD7580" w:rsidR="00533730" w:rsidRDefault="00533730" w:rsidP="00533730">
      <w:pPr>
        <w:jc w:val="center"/>
        <w:rPr>
          <w:rFonts w:ascii="Segoe UI Emoji" w:hAnsi="Segoe UI Emoji" w:cs="Segoe UI Emoji"/>
          <w:b/>
          <w:bCs/>
          <w:highlight w:val="yellow"/>
        </w:rPr>
      </w:pPr>
      <w:r>
        <w:rPr>
          <w:rFonts w:ascii="Segoe UI Emoji" w:hAnsi="Segoe UI Emoji" w:cs="Segoe UI Emoji"/>
          <w:b/>
          <w:bCs/>
          <w:highlight w:val="yellow"/>
        </w:rPr>
        <w:t xml:space="preserve">Delete This Page Before Creating </w:t>
      </w:r>
      <w:r w:rsidR="00FD4008">
        <w:rPr>
          <w:rFonts w:ascii="Segoe UI Emoji" w:hAnsi="Segoe UI Emoji" w:cs="Segoe UI Emoji"/>
          <w:b/>
          <w:bCs/>
          <w:highlight w:val="yellow"/>
        </w:rPr>
        <w:t>Your</w:t>
      </w:r>
      <w:r>
        <w:rPr>
          <w:rFonts w:ascii="Segoe UI Emoji" w:hAnsi="Segoe UI Emoji" w:cs="Segoe UI Emoji"/>
          <w:b/>
          <w:bCs/>
          <w:highlight w:val="yellow"/>
        </w:rPr>
        <w:t xml:space="preserve"> Company’s Template</w:t>
      </w:r>
    </w:p>
    <w:p w14:paraId="5D038366" w14:textId="77777777" w:rsidR="000A6C43" w:rsidRPr="000A6C43" w:rsidRDefault="000A6C43" w:rsidP="000A6C43">
      <w:pPr>
        <w:rPr>
          <w:rFonts w:ascii="Raleway" w:hAnsi="Raleway" w:cs="Segoe UI Emoji"/>
          <w:b/>
          <w:bCs/>
        </w:rPr>
      </w:pPr>
      <w:r w:rsidRPr="000A6C43">
        <w:rPr>
          <w:rFonts w:ascii="Raleway" w:hAnsi="Raleway" w:cs="Segoe UI Emoji"/>
          <w:b/>
          <w:bCs/>
        </w:rPr>
        <w:t>About This Document</w:t>
      </w:r>
    </w:p>
    <w:p w14:paraId="5EDCC4D3" w14:textId="77777777" w:rsidR="00956B80" w:rsidRPr="00956B80" w:rsidRDefault="00956B80" w:rsidP="00956B80">
      <w:pPr>
        <w:rPr>
          <w:rFonts w:ascii="Raleway" w:hAnsi="Raleway" w:cs="Segoe UI Emoji"/>
        </w:rPr>
      </w:pPr>
      <w:r w:rsidRPr="00956B80">
        <w:rPr>
          <w:rFonts w:ascii="Raleway" w:hAnsi="Raleway" w:cs="Segoe UI Emoji"/>
        </w:rPr>
        <w:t>This Incident Response Plan (IRP) outlines how to prepare for, respond to, and recover from cybersecurity incidents. It defines the people, processes, and tools your organization should activate when a cyber threat emerges—minimizing downtime, protecting your data, and ensuring legal/regulatory compliance.</w:t>
      </w:r>
    </w:p>
    <w:p w14:paraId="02C62000" w14:textId="77777777" w:rsidR="000A6C43" w:rsidRPr="000A6C43" w:rsidRDefault="00143245" w:rsidP="000A6C43">
      <w:pPr>
        <w:rPr>
          <w:rFonts w:ascii="Raleway" w:hAnsi="Raleway" w:cs="Segoe UI Emoji"/>
        </w:rPr>
      </w:pPr>
      <w:r>
        <w:rPr>
          <w:rFonts w:ascii="Raleway" w:hAnsi="Raleway" w:cs="Segoe UI Emoji"/>
        </w:rPr>
        <w:pict w14:anchorId="101352AD">
          <v:rect id="_x0000_i1025" style="width:0;height:1.5pt" o:hralign="center" o:hrstd="t" o:hr="t" fillcolor="#a0a0a0" stroked="f"/>
        </w:pict>
      </w:r>
    </w:p>
    <w:p w14:paraId="4669E2BF" w14:textId="77777777" w:rsidR="00956B80" w:rsidRPr="00956B80" w:rsidRDefault="00956B80" w:rsidP="00956B80">
      <w:pPr>
        <w:numPr>
          <w:ilvl w:val="0"/>
          <w:numId w:val="7"/>
        </w:numPr>
        <w:rPr>
          <w:rFonts w:ascii="Raleway" w:hAnsi="Raleway" w:cs="Segoe UI Emoji"/>
          <w:b/>
          <w:bCs/>
        </w:rPr>
      </w:pPr>
      <w:r w:rsidRPr="00956B80">
        <w:rPr>
          <w:rFonts w:ascii="Raleway" w:hAnsi="Raleway" w:cs="Segoe UI Emoji"/>
          <w:b/>
          <w:bCs/>
        </w:rPr>
        <w:t>How to Use This Plan</w:t>
      </w:r>
    </w:p>
    <w:p w14:paraId="672C8CDB" w14:textId="77777777" w:rsidR="00956B80" w:rsidRPr="00956B80" w:rsidRDefault="00956B80" w:rsidP="00956B80">
      <w:pPr>
        <w:numPr>
          <w:ilvl w:val="0"/>
          <w:numId w:val="7"/>
        </w:numPr>
        <w:rPr>
          <w:rFonts w:ascii="Raleway" w:hAnsi="Raleway" w:cs="Segoe UI Emoji"/>
        </w:rPr>
      </w:pPr>
      <w:r w:rsidRPr="00956B80">
        <w:rPr>
          <w:rFonts w:ascii="Raleway" w:hAnsi="Raleway" w:cs="Segoe UI Emoji"/>
          <w:b/>
          <w:bCs/>
        </w:rPr>
        <w:t>Prepare</w:t>
      </w:r>
      <w:r w:rsidRPr="00956B80">
        <w:rPr>
          <w:rFonts w:ascii="Raleway" w:hAnsi="Raleway" w:cs="Segoe UI Emoji"/>
        </w:rPr>
        <w:t>: Assign your response team, define roles, and update contact info.</w:t>
      </w:r>
    </w:p>
    <w:p w14:paraId="332494BC" w14:textId="77777777" w:rsidR="00956B80" w:rsidRPr="00956B80" w:rsidRDefault="00956B80" w:rsidP="00956B80">
      <w:pPr>
        <w:numPr>
          <w:ilvl w:val="0"/>
          <w:numId w:val="7"/>
        </w:numPr>
        <w:rPr>
          <w:rFonts w:ascii="Raleway" w:hAnsi="Raleway" w:cs="Segoe UI Emoji"/>
        </w:rPr>
      </w:pPr>
      <w:r w:rsidRPr="00956B80">
        <w:rPr>
          <w:rFonts w:ascii="Raleway" w:hAnsi="Raleway" w:cs="Segoe UI Emoji"/>
          <w:b/>
          <w:bCs/>
        </w:rPr>
        <w:t>Respond</w:t>
      </w:r>
      <w:r w:rsidRPr="00956B80">
        <w:rPr>
          <w:rFonts w:ascii="Raleway" w:hAnsi="Raleway" w:cs="Segoe UI Emoji"/>
        </w:rPr>
        <w:t>: Follow the incident lifecycle from detection to recovery.</w:t>
      </w:r>
    </w:p>
    <w:p w14:paraId="1D6ACEB5" w14:textId="77777777" w:rsidR="00956B80" w:rsidRPr="00956B80" w:rsidRDefault="00956B80" w:rsidP="00956B80">
      <w:pPr>
        <w:numPr>
          <w:ilvl w:val="0"/>
          <w:numId w:val="7"/>
        </w:numPr>
        <w:rPr>
          <w:rFonts w:ascii="Raleway" w:hAnsi="Raleway" w:cs="Segoe UI Emoji"/>
        </w:rPr>
      </w:pPr>
      <w:r w:rsidRPr="00956B80">
        <w:rPr>
          <w:rFonts w:ascii="Raleway" w:hAnsi="Raleway" w:cs="Segoe UI Emoji"/>
          <w:b/>
          <w:bCs/>
        </w:rPr>
        <w:t>Refine</w:t>
      </w:r>
      <w:r w:rsidRPr="00956B80">
        <w:rPr>
          <w:rFonts w:ascii="Raleway" w:hAnsi="Raleway" w:cs="Segoe UI Emoji"/>
        </w:rPr>
        <w:t>: Use post-incident reviews to improve and update the plan regularly.</w:t>
      </w:r>
    </w:p>
    <w:p w14:paraId="728ABC40" w14:textId="39F1BF37" w:rsidR="000A6C43" w:rsidRPr="00956B80" w:rsidRDefault="00956B80" w:rsidP="00956B80">
      <w:pPr>
        <w:numPr>
          <w:ilvl w:val="0"/>
          <w:numId w:val="7"/>
        </w:numPr>
        <w:rPr>
          <w:rFonts w:ascii="Raleway" w:hAnsi="Raleway" w:cs="Segoe UI Emoji"/>
        </w:rPr>
      </w:pPr>
      <w:r w:rsidRPr="00956B80">
        <w:rPr>
          <w:rFonts w:ascii="Raleway" w:hAnsi="Raleway" w:cs="Segoe UI Emoji"/>
        </w:rPr>
        <w:t xml:space="preserve">This document is designed for easy adaptation to your environment. Combine it with the </w:t>
      </w:r>
      <w:r w:rsidRPr="00956B80">
        <w:rPr>
          <w:rFonts w:ascii="Raleway" w:hAnsi="Raleway" w:cs="Segoe UI Emoji"/>
          <w:b/>
          <w:bCs/>
        </w:rPr>
        <w:t>Incident Progress Report (IPR)</w:t>
      </w:r>
      <w:r w:rsidRPr="00956B80">
        <w:rPr>
          <w:rFonts w:ascii="Raleway" w:hAnsi="Raleway" w:cs="Segoe UI Emoji"/>
        </w:rPr>
        <w:t xml:space="preserve"> template to ensure proper documentation and response tracking during real-world incidents.</w:t>
      </w:r>
    </w:p>
    <w:p w14:paraId="4F64DE3F" w14:textId="77777777" w:rsidR="000A6C43" w:rsidRPr="000A6C43" w:rsidRDefault="00143245" w:rsidP="000A6C43">
      <w:pPr>
        <w:rPr>
          <w:rFonts w:ascii="Raleway" w:hAnsi="Raleway" w:cs="Segoe UI Emoji"/>
        </w:rPr>
      </w:pPr>
      <w:r>
        <w:rPr>
          <w:rFonts w:ascii="Raleway" w:hAnsi="Raleway" w:cs="Segoe UI Emoji"/>
        </w:rPr>
        <w:pict w14:anchorId="50576B72">
          <v:rect id="_x0000_i1026" style="width:0;height:1.5pt" o:hralign="center" o:hrstd="t" o:hr="t" fillcolor="#a0a0a0" stroked="f"/>
        </w:pict>
      </w:r>
    </w:p>
    <w:p w14:paraId="6BAEE3D6" w14:textId="77777777" w:rsidR="000A6C43" w:rsidRPr="000A6C43" w:rsidRDefault="000A6C43" w:rsidP="000A6C43">
      <w:pPr>
        <w:rPr>
          <w:rFonts w:ascii="Raleway" w:hAnsi="Raleway" w:cs="Segoe UI Emoji"/>
          <w:b/>
          <w:bCs/>
        </w:rPr>
      </w:pPr>
      <w:r w:rsidRPr="000A6C43">
        <w:rPr>
          <w:rFonts w:ascii="Raleway" w:hAnsi="Raleway" w:cs="Segoe UI Emoji"/>
          <w:b/>
          <w:bCs/>
        </w:rPr>
        <w:t>About SpecGravity</w:t>
      </w:r>
    </w:p>
    <w:p w14:paraId="7960C7B7" w14:textId="77777777" w:rsidR="00FD4008" w:rsidRDefault="000A6C43" w:rsidP="000A6C43">
      <w:pPr>
        <w:rPr>
          <w:rFonts w:ascii="Raleway" w:hAnsi="Raleway" w:cs="Segoe UI Emoji"/>
        </w:rPr>
        <w:sectPr w:rsidR="00FD4008" w:rsidSect="00533730">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pPr>
      <w:r w:rsidRPr="000A6C43">
        <w:rPr>
          <w:rFonts w:ascii="Raleway" w:hAnsi="Raleway" w:cs="Segoe UI Emoji"/>
        </w:rPr>
        <w:t>At SpecGravity, we specialize in simplifying technology operations for multiunit brands in hospitality, retail, and fast-scaling environments. Our cybersecurity services are built for agility and real-time protection, helping you navigate the complexities of today's threat landscape.</w:t>
      </w:r>
    </w:p>
    <w:p w14:paraId="2F5FBBDF" w14:textId="09BED793" w:rsidR="000A6C43" w:rsidRPr="000A6C43" w:rsidRDefault="000A6C43" w:rsidP="000A6C43">
      <w:pPr>
        <w:rPr>
          <w:rFonts w:ascii="Raleway" w:hAnsi="Raleway" w:cs="Segoe UI Emoji"/>
        </w:rPr>
      </w:pPr>
      <w:r w:rsidRPr="000A6C43">
        <w:rPr>
          <w:rFonts w:ascii="Raleway" w:hAnsi="Raleway" w:cs="Segoe UI Emoji"/>
        </w:rPr>
        <w:lastRenderedPageBreak/>
        <w:t>How We Help</w:t>
      </w:r>
    </w:p>
    <w:p w14:paraId="06B71C1A" w14:textId="77777777" w:rsidR="000A6C43" w:rsidRPr="000A6C43" w:rsidRDefault="000A6C43" w:rsidP="000A6C43">
      <w:pPr>
        <w:numPr>
          <w:ilvl w:val="0"/>
          <w:numId w:val="8"/>
        </w:numPr>
        <w:rPr>
          <w:rFonts w:ascii="Raleway" w:hAnsi="Raleway" w:cs="Segoe UI Emoji"/>
        </w:rPr>
      </w:pPr>
      <w:r w:rsidRPr="000A6C43">
        <w:rPr>
          <w:rFonts w:ascii="Raleway" w:hAnsi="Raleway" w:cs="Segoe UI Emoji"/>
        </w:rPr>
        <w:t>Immediate Incident Response:</w:t>
      </w:r>
      <w:r w:rsidRPr="000A6C43">
        <w:rPr>
          <w:rFonts w:ascii="Raleway" w:hAnsi="Raleway" w:cs="Segoe UI Emoji"/>
        </w:rPr>
        <w:br/>
        <w:t>Rapid containment, forensic investigation, and communication support when every minute counts.</w:t>
      </w:r>
    </w:p>
    <w:p w14:paraId="39BDCCDD" w14:textId="77777777" w:rsidR="000A6C43" w:rsidRPr="000A6C43" w:rsidRDefault="000A6C43" w:rsidP="000A6C43">
      <w:pPr>
        <w:numPr>
          <w:ilvl w:val="0"/>
          <w:numId w:val="8"/>
        </w:numPr>
        <w:rPr>
          <w:rFonts w:ascii="Raleway" w:hAnsi="Raleway" w:cs="Segoe UI Emoji"/>
        </w:rPr>
      </w:pPr>
      <w:r w:rsidRPr="000A6C43">
        <w:rPr>
          <w:rFonts w:ascii="Raleway" w:hAnsi="Raleway" w:cs="Segoe UI Emoji"/>
        </w:rPr>
        <w:t>Prevention &amp; Readiness:</w:t>
      </w:r>
      <w:r w:rsidRPr="000A6C43">
        <w:rPr>
          <w:rFonts w:ascii="Raleway" w:hAnsi="Raleway" w:cs="Segoe UI Emoji"/>
        </w:rPr>
        <w:br/>
        <w:t>We provide proactive solutions such as 24/7 monitoring, endpoint protection, vulnerability management, and employee training.</w:t>
      </w:r>
    </w:p>
    <w:p w14:paraId="416915B3" w14:textId="77777777" w:rsidR="000A6C43" w:rsidRPr="000A6C43" w:rsidRDefault="000A6C43" w:rsidP="000A6C43">
      <w:pPr>
        <w:numPr>
          <w:ilvl w:val="0"/>
          <w:numId w:val="8"/>
        </w:numPr>
        <w:rPr>
          <w:rFonts w:ascii="Raleway" w:hAnsi="Raleway" w:cs="Segoe UI Emoji"/>
        </w:rPr>
      </w:pPr>
      <w:r w:rsidRPr="000A6C43">
        <w:rPr>
          <w:rFonts w:ascii="Raleway" w:hAnsi="Raleway" w:cs="Segoe UI Emoji"/>
        </w:rPr>
        <w:t>Ongoing Support:</w:t>
      </w:r>
      <w:r w:rsidRPr="000A6C43">
        <w:rPr>
          <w:rFonts w:ascii="Raleway" w:hAnsi="Raleway" w:cs="Segoe UI Emoji"/>
        </w:rPr>
        <w:br/>
        <w:t>Through managed cybersecurity services, compliance guidance, and scalable solutions, we help you stay resilient and compliant long-term.</w:t>
      </w:r>
    </w:p>
    <w:p w14:paraId="77723E94" w14:textId="77777777" w:rsidR="000A6C43" w:rsidRPr="000A6C43" w:rsidRDefault="00143245" w:rsidP="000A6C43">
      <w:pPr>
        <w:rPr>
          <w:rFonts w:ascii="Raleway" w:hAnsi="Raleway" w:cs="Segoe UI Emoji"/>
        </w:rPr>
      </w:pPr>
      <w:r>
        <w:rPr>
          <w:rFonts w:ascii="Raleway" w:hAnsi="Raleway" w:cs="Segoe UI Emoji"/>
        </w:rPr>
        <w:pict w14:anchorId="44C1E1E2">
          <v:rect id="_x0000_i1028" style="width:0;height:1.5pt" o:hralign="center" o:hrstd="t" o:hr="t" fillcolor="#a0a0a0" stroked="f"/>
        </w:pict>
      </w:r>
    </w:p>
    <w:p w14:paraId="74D7A9B3" w14:textId="637E9EE6" w:rsidR="000A6C43" w:rsidRDefault="000A6C43" w:rsidP="000A6C43">
      <w:pPr>
        <w:rPr>
          <w:rFonts w:ascii="Raleway" w:hAnsi="Raleway" w:cs="Segoe UI Emoji"/>
        </w:rPr>
      </w:pPr>
      <w:r w:rsidRPr="000A6C43">
        <w:rPr>
          <w:rFonts w:ascii="Raleway" w:hAnsi="Raleway" w:cs="Segoe UI Emoji"/>
        </w:rPr>
        <w:t>Need Help During or After an Incident?</w:t>
      </w:r>
      <w:r w:rsidRPr="000A6C43">
        <w:rPr>
          <w:rFonts w:ascii="Raleway" w:hAnsi="Raleway" w:cs="Segoe UI Emoji"/>
        </w:rPr>
        <w:br/>
        <w:t>Reach out to our cybersecurity team at:</w:t>
      </w:r>
      <w:r w:rsidRPr="000A6C43">
        <w:rPr>
          <w:rFonts w:ascii="Raleway" w:hAnsi="Raleway" w:cs="Segoe UI Emoji"/>
        </w:rPr>
        <w:br/>
      </w:r>
      <w:r w:rsidRPr="000A6C43">
        <w:rPr>
          <w:rFonts w:ascii="Segoe UI Emoji" w:hAnsi="Segoe UI Emoji" w:cs="Segoe UI Emoji"/>
        </w:rPr>
        <w:t>📧</w:t>
      </w:r>
      <w:r w:rsidRPr="000A6C43">
        <w:rPr>
          <w:rFonts w:ascii="Raleway" w:hAnsi="Raleway" w:cs="Segoe UI Emoji"/>
        </w:rPr>
        <w:t xml:space="preserve"> </w:t>
      </w:r>
      <w:r>
        <w:rPr>
          <w:rFonts w:ascii="Raleway" w:hAnsi="Raleway" w:cs="Segoe UI Emoji"/>
        </w:rPr>
        <w:t>info</w:t>
      </w:r>
      <w:r w:rsidRPr="000A6C43">
        <w:rPr>
          <w:rFonts w:ascii="Raleway" w:hAnsi="Raleway" w:cs="Segoe UI Emoji"/>
        </w:rPr>
        <w:t>@specgravity.com</w:t>
      </w:r>
      <w:r w:rsidRPr="000A6C43">
        <w:rPr>
          <w:rFonts w:ascii="Raleway" w:hAnsi="Raleway" w:cs="Segoe UI Emoji"/>
        </w:rPr>
        <w:br/>
      </w:r>
      <w:r w:rsidRPr="000A6C43">
        <w:rPr>
          <w:rFonts w:ascii="Segoe UI Emoji" w:hAnsi="Segoe UI Emoji" w:cs="Segoe UI Emoji"/>
        </w:rPr>
        <w:t>📞</w:t>
      </w:r>
      <w:r w:rsidRPr="000A6C43">
        <w:rPr>
          <w:rFonts w:ascii="Raleway" w:hAnsi="Raleway" w:cs="Segoe UI Emoji"/>
        </w:rPr>
        <w:t xml:space="preserve"> 1-8</w:t>
      </w:r>
      <w:r>
        <w:rPr>
          <w:rFonts w:ascii="Raleway" w:hAnsi="Raleway" w:cs="Segoe UI Emoji"/>
        </w:rPr>
        <w:t>44</w:t>
      </w:r>
      <w:r w:rsidRPr="000A6C43">
        <w:rPr>
          <w:rFonts w:ascii="Raleway" w:hAnsi="Raleway" w:cs="Segoe UI Emoji"/>
        </w:rPr>
        <w:t>-</w:t>
      </w:r>
      <w:r>
        <w:rPr>
          <w:rFonts w:ascii="Raleway" w:hAnsi="Raleway" w:cs="Segoe UI Emoji"/>
        </w:rPr>
        <w:t>700</w:t>
      </w:r>
      <w:r w:rsidRPr="000A6C43">
        <w:rPr>
          <w:rFonts w:ascii="Raleway" w:hAnsi="Raleway" w:cs="Segoe UI Emoji"/>
        </w:rPr>
        <w:t>-</w:t>
      </w:r>
      <w:r>
        <w:rPr>
          <w:rFonts w:ascii="Raleway" w:hAnsi="Raleway" w:cs="Segoe UI Emoji"/>
        </w:rPr>
        <w:t>4728</w:t>
      </w:r>
      <w:r w:rsidRPr="000A6C43">
        <w:rPr>
          <w:rFonts w:ascii="Raleway" w:hAnsi="Raleway" w:cs="Segoe UI Emoji"/>
        </w:rPr>
        <w:br/>
      </w:r>
      <w:r w:rsidRPr="000A6C43">
        <w:rPr>
          <w:rFonts w:ascii="Segoe UI Emoji" w:hAnsi="Segoe UI Emoji" w:cs="Segoe UI Emoji"/>
        </w:rPr>
        <w:t>🌐</w:t>
      </w:r>
      <w:r w:rsidRPr="000A6C43">
        <w:rPr>
          <w:rFonts w:ascii="Raleway" w:hAnsi="Raleway" w:cs="Segoe UI Emoji"/>
        </w:rPr>
        <w:t xml:space="preserve"> </w:t>
      </w:r>
      <w:hyperlink r:id="rId11" w:tgtFrame="_new" w:history="1">
        <w:r w:rsidRPr="000A6C43">
          <w:rPr>
            <w:rStyle w:val="Hyperlink"/>
            <w:rFonts w:ascii="Raleway" w:hAnsi="Raleway" w:cs="Segoe UI Emoji"/>
          </w:rPr>
          <w:t>www.specgravity.com</w:t>
        </w:r>
      </w:hyperlink>
    </w:p>
    <w:p w14:paraId="5F085C8D" w14:textId="77777777" w:rsidR="00FD4008" w:rsidRDefault="00FD4008" w:rsidP="000A6C43">
      <w:pPr>
        <w:rPr>
          <w:rFonts w:ascii="Raleway" w:hAnsi="Raleway" w:cs="Segoe UI Emoji"/>
        </w:rPr>
      </w:pPr>
    </w:p>
    <w:p w14:paraId="71E5E2CC" w14:textId="77777777" w:rsidR="00FD4008" w:rsidRPr="000A6C43" w:rsidRDefault="00FD4008" w:rsidP="000A6C43">
      <w:pPr>
        <w:rPr>
          <w:rFonts w:ascii="Raleway" w:hAnsi="Raleway" w:cs="Segoe UI Emoji"/>
        </w:rPr>
      </w:pPr>
    </w:p>
    <w:p w14:paraId="41F2905D" w14:textId="6B851087" w:rsidR="00A643CC" w:rsidRDefault="00A643CC" w:rsidP="00533730">
      <w:pPr>
        <w:rPr>
          <w:rFonts w:ascii="Segoe UI Emoji" w:hAnsi="Segoe UI Emoji" w:cs="Segoe UI Emoji"/>
          <w:b/>
          <w:bCs/>
          <w:highlight w:val="yellow"/>
        </w:rPr>
      </w:pPr>
      <w:r>
        <w:rPr>
          <w:rFonts w:ascii="Segoe UI Emoji" w:hAnsi="Segoe UI Emoji" w:cs="Segoe UI Emoji"/>
          <w:b/>
          <w:bCs/>
          <w:highlight w:val="yellow"/>
        </w:rPr>
        <w:br w:type="page"/>
      </w:r>
    </w:p>
    <w:p w14:paraId="15A16C29" w14:textId="08C9CD56" w:rsidR="00F37D51" w:rsidRPr="00F37D51" w:rsidRDefault="00F37D51" w:rsidP="00F37D51">
      <w:pPr>
        <w:rPr>
          <w:b/>
          <w:bCs/>
        </w:rPr>
      </w:pPr>
      <w:r w:rsidRPr="00F37D51">
        <w:rPr>
          <w:rFonts w:ascii="Segoe UI Emoji" w:hAnsi="Segoe UI Emoji" w:cs="Segoe UI Emoji"/>
          <w:b/>
          <w:bCs/>
          <w:highlight w:val="yellow"/>
        </w:rPr>
        <w:lastRenderedPageBreak/>
        <w:t>[Company Name]</w:t>
      </w:r>
      <w:r w:rsidRPr="00F37D51">
        <w:rPr>
          <w:b/>
          <w:bCs/>
        </w:rPr>
        <w:t xml:space="preserve"> Cybersecurity Incident </w:t>
      </w:r>
      <w:r w:rsidR="000C4F2C">
        <w:rPr>
          <w:b/>
          <w:bCs/>
        </w:rPr>
        <w:t>Response Plan</w:t>
      </w:r>
      <w:r w:rsidRPr="00F37D51">
        <w:rPr>
          <w:b/>
          <w:bCs/>
        </w:rPr>
        <w:t xml:space="preserve"> (IR</w:t>
      </w:r>
      <w:r w:rsidR="000C4F2C">
        <w:rPr>
          <w:b/>
          <w:bCs/>
        </w:rPr>
        <w:t>P</w:t>
      </w:r>
      <w:r w:rsidRPr="00F37D51">
        <w:rPr>
          <w:b/>
          <w:bCs/>
        </w:rPr>
        <w:t>)</w:t>
      </w:r>
    </w:p>
    <w:p w14:paraId="398C3D70" w14:textId="5A094B01" w:rsidR="00F37D51" w:rsidRPr="00F37D51" w:rsidRDefault="00143245" w:rsidP="00F37D51">
      <w:r>
        <w:rPr>
          <w:b/>
          <w:bCs/>
        </w:rPr>
        <w:t>Prepared By</w:t>
      </w:r>
      <w:r w:rsidR="00F37D51" w:rsidRPr="00F37D51">
        <w:t>: Full Name</w:t>
      </w:r>
    </w:p>
    <w:p w14:paraId="541DD052" w14:textId="34E8E21B" w:rsidR="00F37D51" w:rsidRPr="00F37D51" w:rsidRDefault="00143245" w:rsidP="00F37D51">
      <w:r>
        <w:rPr>
          <w:b/>
          <w:bCs/>
        </w:rPr>
        <w:t>Preparer Contact Info</w:t>
      </w:r>
      <w:r w:rsidR="00F37D51" w:rsidRPr="00F37D51">
        <w:t>: Email / Phone</w:t>
      </w:r>
    </w:p>
    <w:p w14:paraId="16CDC371" w14:textId="77777777" w:rsidR="00F37D51" w:rsidRPr="00F37D51" w:rsidRDefault="00143245" w:rsidP="00F37D51">
      <w:r>
        <w:pict w14:anchorId="3E6A6D6C">
          <v:rect id="_x0000_i1029" style="width:0;height:1.5pt" o:hralign="center" o:hrstd="t" o:hr="t" fillcolor="#a0a0a0" stroked="f"/>
        </w:pict>
      </w:r>
    </w:p>
    <w:p w14:paraId="37D4D82F" w14:textId="77777777" w:rsidR="000C4F2C" w:rsidRPr="000C4F2C" w:rsidRDefault="000C4F2C" w:rsidP="000C4F2C">
      <w:pPr>
        <w:rPr>
          <w:b/>
          <w:bCs/>
        </w:rPr>
      </w:pPr>
      <w:r w:rsidRPr="000C4F2C">
        <w:rPr>
          <w:b/>
          <w:bCs/>
        </w:rPr>
        <w:t>1. Purpose</w:t>
      </w:r>
    </w:p>
    <w:p w14:paraId="7B7663CE" w14:textId="77777777" w:rsidR="000C4F2C" w:rsidRPr="000C4F2C" w:rsidRDefault="000C4F2C" w:rsidP="000C4F2C">
      <w:r w:rsidRPr="000C4F2C">
        <w:t>This Incident Response Plan (IRP) outlines the policies, roles, and procedures for detecting, responding to, managing, and recovering from cybersecurity incidents. The goal is to minimize impact, restore operations swiftly, and comply with legal, regulatory, and contractual obligations.</w:t>
      </w:r>
    </w:p>
    <w:p w14:paraId="07DFC2C9" w14:textId="77777777" w:rsidR="000C4F2C" w:rsidRPr="000C4F2C" w:rsidRDefault="000C4F2C" w:rsidP="000C4F2C">
      <w:pPr>
        <w:rPr>
          <w:b/>
          <w:bCs/>
        </w:rPr>
      </w:pPr>
      <w:r w:rsidRPr="000C4F2C">
        <w:rPr>
          <w:b/>
          <w:bCs/>
        </w:rPr>
        <w:pict w14:anchorId="1EBE2164">
          <v:rect id="_x0000_i1119" style="width:0;height:1.5pt" o:hralign="center" o:hrstd="t" o:hr="t" fillcolor="#a0a0a0" stroked="f"/>
        </w:pict>
      </w:r>
    </w:p>
    <w:p w14:paraId="2E4050B1" w14:textId="77777777" w:rsidR="000C4F2C" w:rsidRPr="000C4F2C" w:rsidRDefault="000C4F2C" w:rsidP="000C4F2C">
      <w:pPr>
        <w:rPr>
          <w:b/>
          <w:bCs/>
        </w:rPr>
      </w:pPr>
      <w:r w:rsidRPr="000C4F2C">
        <w:rPr>
          <w:b/>
          <w:bCs/>
        </w:rPr>
        <w:t>2. Scope</w:t>
      </w:r>
    </w:p>
    <w:p w14:paraId="74646E90" w14:textId="77777777" w:rsidR="000C4F2C" w:rsidRPr="000C4F2C" w:rsidRDefault="000C4F2C" w:rsidP="000C4F2C">
      <w:r w:rsidRPr="000C4F2C">
        <w:t>This plan applies to all employees, systems, applications, and data managed or supported by [Company Name]. It covers internal systems, customer-facing platforms, third-party integrations, and physical access security breaches with a cyber component.</w:t>
      </w:r>
    </w:p>
    <w:p w14:paraId="4BF28977" w14:textId="77777777" w:rsidR="000C4F2C" w:rsidRPr="000C4F2C" w:rsidRDefault="000C4F2C" w:rsidP="000C4F2C">
      <w:pPr>
        <w:rPr>
          <w:b/>
          <w:bCs/>
        </w:rPr>
      </w:pPr>
      <w:r w:rsidRPr="000C4F2C">
        <w:rPr>
          <w:b/>
          <w:bCs/>
        </w:rPr>
        <w:pict w14:anchorId="7F13C6F3">
          <v:rect id="_x0000_i1120" style="width:0;height:1.5pt" o:hralign="center" o:hrstd="t" o:hr="t" fillcolor="#a0a0a0" stroked="f"/>
        </w:pict>
      </w:r>
    </w:p>
    <w:p w14:paraId="32907D83" w14:textId="77777777" w:rsidR="000C4F2C" w:rsidRPr="000C4F2C" w:rsidRDefault="000C4F2C" w:rsidP="000C4F2C">
      <w:pPr>
        <w:rPr>
          <w:b/>
          <w:bCs/>
        </w:rPr>
      </w:pPr>
      <w:r w:rsidRPr="000C4F2C">
        <w:rPr>
          <w:b/>
          <w:bCs/>
        </w:rPr>
        <w:t>3. Incident Response Team (IRT)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59"/>
        <w:gridCol w:w="733"/>
        <w:gridCol w:w="961"/>
        <w:gridCol w:w="5097"/>
      </w:tblGrid>
      <w:tr w:rsidR="000C4F2C" w:rsidRPr="000C4F2C" w14:paraId="492BF9C5" w14:textId="77777777" w:rsidTr="000C4F2C">
        <w:trPr>
          <w:tblHeader/>
          <w:tblCellSpacing w:w="15" w:type="dxa"/>
        </w:trPr>
        <w:tc>
          <w:tcPr>
            <w:tcW w:w="0" w:type="auto"/>
            <w:vAlign w:val="center"/>
            <w:hideMark/>
          </w:tcPr>
          <w:p w14:paraId="6C2BD7EA" w14:textId="77777777" w:rsidR="000C4F2C" w:rsidRPr="000C4F2C" w:rsidRDefault="000C4F2C" w:rsidP="000C4F2C">
            <w:pPr>
              <w:rPr>
                <w:b/>
                <w:bCs/>
              </w:rPr>
            </w:pPr>
            <w:r w:rsidRPr="000C4F2C">
              <w:rPr>
                <w:b/>
                <w:bCs/>
              </w:rPr>
              <w:t>Role</w:t>
            </w:r>
          </w:p>
        </w:tc>
        <w:tc>
          <w:tcPr>
            <w:tcW w:w="0" w:type="auto"/>
            <w:vAlign w:val="center"/>
            <w:hideMark/>
          </w:tcPr>
          <w:p w14:paraId="6907173A" w14:textId="77777777" w:rsidR="000C4F2C" w:rsidRPr="000C4F2C" w:rsidRDefault="000C4F2C" w:rsidP="000C4F2C">
            <w:pPr>
              <w:rPr>
                <w:b/>
                <w:bCs/>
              </w:rPr>
            </w:pPr>
            <w:r w:rsidRPr="000C4F2C">
              <w:rPr>
                <w:b/>
                <w:bCs/>
              </w:rPr>
              <w:t>Name</w:t>
            </w:r>
          </w:p>
        </w:tc>
        <w:tc>
          <w:tcPr>
            <w:tcW w:w="0" w:type="auto"/>
            <w:vAlign w:val="center"/>
            <w:hideMark/>
          </w:tcPr>
          <w:p w14:paraId="50130993" w14:textId="77777777" w:rsidR="000C4F2C" w:rsidRPr="000C4F2C" w:rsidRDefault="000C4F2C" w:rsidP="000C4F2C">
            <w:pPr>
              <w:rPr>
                <w:b/>
                <w:bCs/>
              </w:rPr>
            </w:pPr>
            <w:r w:rsidRPr="000C4F2C">
              <w:rPr>
                <w:b/>
                <w:bCs/>
              </w:rPr>
              <w:t>Contact</w:t>
            </w:r>
          </w:p>
        </w:tc>
        <w:tc>
          <w:tcPr>
            <w:tcW w:w="0" w:type="auto"/>
            <w:vAlign w:val="center"/>
            <w:hideMark/>
          </w:tcPr>
          <w:p w14:paraId="05632FC3" w14:textId="77777777" w:rsidR="000C4F2C" w:rsidRPr="000C4F2C" w:rsidRDefault="000C4F2C" w:rsidP="000C4F2C">
            <w:pPr>
              <w:rPr>
                <w:b/>
                <w:bCs/>
              </w:rPr>
            </w:pPr>
            <w:r w:rsidRPr="000C4F2C">
              <w:rPr>
                <w:b/>
                <w:bCs/>
              </w:rPr>
              <w:t>Responsibilities</w:t>
            </w:r>
          </w:p>
        </w:tc>
      </w:tr>
      <w:tr w:rsidR="000C4F2C" w:rsidRPr="000C4F2C" w14:paraId="171B37BC" w14:textId="77777777" w:rsidTr="000C4F2C">
        <w:trPr>
          <w:tblCellSpacing w:w="15" w:type="dxa"/>
        </w:trPr>
        <w:tc>
          <w:tcPr>
            <w:tcW w:w="0" w:type="auto"/>
            <w:vAlign w:val="center"/>
            <w:hideMark/>
          </w:tcPr>
          <w:p w14:paraId="3719E1AB" w14:textId="77777777" w:rsidR="000C4F2C" w:rsidRPr="000C4F2C" w:rsidRDefault="000C4F2C" w:rsidP="000C4F2C">
            <w:pPr>
              <w:rPr>
                <w:b/>
                <w:bCs/>
              </w:rPr>
            </w:pPr>
            <w:r w:rsidRPr="000C4F2C">
              <w:rPr>
                <w:b/>
                <w:bCs/>
              </w:rPr>
              <w:t>Incident Commander</w:t>
            </w:r>
          </w:p>
        </w:tc>
        <w:tc>
          <w:tcPr>
            <w:tcW w:w="0" w:type="auto"/>
            <w:vAlign w:val="center"/>
            <w:hideMark/>
          </w:tcPr>
          <w:p w14:paraId="76F3348F" w14:textId="77777777" w:rsidR="000C4F2C" w:rsidRPr="000C4F2C" w:rsidRDefault="000C4F2C" w:rsidP="000C4F2C">
            <w:pPr>
              <w:rPr>
                <w:b/>
                <w:bCs/>
              </w:rPr>
            </w:pPr>
          </w:p>
        </w:tc>
        <w:tc>
          <w:tcPr>
            <w:tcW w:w="0" w:type="auto"/>
            <w:vAlign w:val="center"/>
            <w:hideMark/>
          </w:tcPr>
          <w:p w14:paraId="6B34512D" w14:textId="77777777" w:rsidR="000C4F2C" w:rsidRPr="000C4F2C" w:rsidRDefault="000C4F2C" w:rsidP="000C4F2C">
            <w:pPr>
              <w:rPr>
                <w:b/>
                <w:bCs/>
              </w:rPr>
            </w:pPr>
          </w:p>
        </w:tc>
        <w:tc>
          <w:tcPr>
            <w:tcW w:w="0" w:type="auto"/>
            <w:vAlign w:val="center"/>
            <w:hideMark/>
          </w:tcPr>
          <w:p w14:paraId="511B15AC" w14:textId="77777777" w:rsidR="000C4F2C" w:rsidRPr="000C4F2C" w:rsidRDefault="000C4F2C" w:rsidP="000C4F2C">
            <w:r w:rsidRPr="000C4F2C">
              <w:t>Overall coordination, decision-making</w:t>
            </w:r>
          </w:p>
        </w:tc>
      </w:tr>
      <w:tr w:rsidR="000C4F2C" w:rsidRPr="000C4F2C" w14:paraId="0BD8EED3" w14:textId="77777777" w:rsidTr="000C4F2C">
        <w:trPr>
          <w:tblCellSpacing w:w="15" w:type="dxa"/>
        </w:trPr>
        <w:tc>
          <w:tcPr>
            <w:tcW w:w="0" w:type="auto"/>
            <w:vAlign w:val="center"/>
            <w:hideMark/>
          </w:tcPr>
          <w:p w14:paraId="0A35EF62" w14:textId="77777777" w:rsidR="000C4F2C" w:rsidRPr="000C4F2C" w:rsidRDefault="000C4F2C" w:rsidP="000C4F2C">
            <w:pPr>
              <w:rPr>
                <w:b/>
                <w:bCs/>
              </w:rPr>
            </w:pPr>
            <w:r w:rsidRPr="000C4F2C">
              <w:rPr>
                <w:b/>
                <w:bCs/>
              </w:rPr>
              <w:t>Security Analyst</w:t>
            </w:r>
          </w:p>
        </w:tc>
        <w:tc>
          <w:tcPr>
            <w:tcW w:w="0" w:type="auto"/>
            <w:vAlign w:val="center"/>
            <w:hideMark/>
          </w:tcPr>
          <w:p w14:paraId="522D2C09" w14:textId="77777777" w:rsidR="000C4F2C" w:rsidRPr="000C4F2C" w:rsidRDefault="000C4F2C" w:rsidP="000C4F2C">
            <w:pPr>
              <w:rPr>
                <w:b/>
                <w:bCs/>
              </w:rPr>
            </w:pPr>
          </w:p>
        </w:tc>
        <w:tc>
          <w:tcPr>
            <w:tcW w:w="0" w:type="auto"/>
            <w:vAlign w:val="center"/>
            <w:hideMark/>
          </w:tcPr>
          <w:p w14:paraId="29FF4045" w14:textId="77777777" w:rsidR="000C4F2C" w:rsidRPr="000C4F2C" w:rsidRDefault="000C4F2C" w:rsidP="000C4F2C">
            <w:pPr>
              <w:rPr>
                <w:b/>
                <w:bCs/>
              </w:rPr>
            </w:pPr>
          </w:p>
        </w:tc>
        <w:tc>
          <w:tcPr>
            <w:tcW w:w="0" w:type="auto"/>
            <w:vAlign w:val="center"/>
            <w:hideMark/>
          </w:tcPr>
          <w:p w14:paraId="4051593A" w14:textId="77777777" w:rsidR="000C4F2C" w:rsidRPr="000C4F2C" w:rsidRDefault="000C4F2C" w:rsidP="000C4F2C">
            <w:r w:rsidRPr="000C4F2C">
              <w:t>Investigation, containment, and root cause</w:t>
            </w:r>
          </w:p>
        </w:tc>
      </w:tr>
      <w:tr w:rsidR="000C4F2C" w:rsidRPr="000C4F2C" w14:paraId="3A6E5E18" w14:textId="77777777" w:rsidTr="000C4F2C">
        <w:trPr>
          <w:tblCellSpacing w:w="15" w:type="dxa"/>
        </w:trPr>
        <w:tc>
          <w:tcPr>
            <w:tcW w:w="0" w:type="auto"/>
            <w:vAlign w:val="center"/>
            <w:hideMark/>
          </w:tcPr>
          <w:p w14:paraId="1C4EC595" w14:textId="77777777" w:rsidR="000C4F2C" w:rsidRPr="000C4F2C" w:rsidRDefault="000C4F2C" w:rsidP="000C4F2C">
            <w:pPr>
              <w:rPr>
                <w:b/>
                <w:bCs/>
              </w:rPr>
            </w:pPr>
            <w:r w:rsidRPr="000C4F2C">
              <w:rPr>
                <w:b/>
                <w:bCs/>
              </w:rPr>
              <w:t>IT Lead</w:t>
            </w:r>
          </w:p>
        </w:tc>
        <w:tc>
          <w:tcPr>
            <w:tcW w:w="0" w:type="auto"/>
            <w:vAlign w:val="center"/>
            <w:hideMark/>
          </w:tcPr>
          <w:p w14:paraId="14FEB00F" w14:textId="77777777" w:rsidR="000C4F2C" w:rsidRPr="000C4F2C" w:rsidRDefault="000C4F2C" w:rsidP="000C4F2C">
            <w:pPr>
              <w:rPr>
                <w:b/>
                <w:bCs/>
              </w:rPr>
            </w:pPr>
          </w:p>
        </w:tc>
        <w:tc>
          <w:tcPr>
            <w:tcW w:w="0" w:type="auto"/>
            <w:vAlign w:val="center"/>
            <w:hideMark/>
          </w:tcPr>
          <w:p w14:paraId="09B4FB81" w14:textId="77777777" w:rsidR="000C4F2C" w:rsidRPr="000C4F2C" w:rsidRDefault="000C4F2C" w:rsidP="000C4F2C">
            <w:pPr>
              <w:rPr>
                <w:b/>
                <w:bCs/>
              </w:rPr>
            </w:pPr>
          </w:p>
        </w:tc>
        <w:tc>
          <w:tcPr>
            <w:tcW w:w="0" w:type="auto"/>
            <w:vAlign w:val="center"/>
            <w:hideMark/>
          </w:tcPr>
          <w:p w14:paraId="7F214559" w14:textId="77777777" w:rsidR="000C4F2C" w:rsidRPr="000C4F2C" w:rsidRDefault="000C4F2C" w:rsidP="000C4F2C">
            <w:r w:rsidRPr="000C4F2C">
              <w:t>Infrastructure remediation and recovery</w:t>
            </w:r>
          </w:p>
        </w:tc>
      </w:tr>
      <w:tr w:rsidR="000C4F2C" w:rsidRPr="000C4F2C" w14:paraId="160453FF" w14:textId="77777777" w:rsidTr="000C4F2C">
        <w:trPr>
          <w:tblCellSpacing w:w="15" w:type="dxa"/>
        </w:trPr>
        <w:tc>
          <w:tcPr>
            <w:tcW w:w="0" w:type="auto"/>
            <w:vAlign w:val="center"/>
            <w:hideMark/>
          </w:tcPr>
          <w:p w14:paraId="371C94D0" w14:textId="77777777" w:rsidR="000C4F2C" w:rsidRPr="000C4F2C" w:rsidRDefault="000C4F2C" w:rsidP="000C4F2C">
            <w:pPr>
              <w:rPr>
                <w:b/>
                <w:bCs/>
              </w:rPr>
            </w:pPr>
            <w:r w:rsidRPr="000C4F2C">
              <w:rPr>
                <w:b/>
                <w:bCs/>
              </w:rPr>
              <w:t>Legal/Compliance</w:t>
            </w:r>
          </w:p>
        </w:tc>
        <w:tc>
          <w:tcPr>
            <w:tcW w:w="0" w:type="auto"/>
            <w:vAlign w:val="center"/>
            <w:hideMark/>
          </w:tcPr>
          <w:p w14:paraId="5E85BE16" w14:textId="77777777" w:rsidR="000C4F2C" w:rsidRPr="000C4F2C" w:rsidRDefault="000C4F2C" w:rsidP="000C4F2C">
            <w:pPr>
              <w:rPr>
                <w:b/>
                <w:bCs/>
              </w:rPr>
            </w:pPr>
          </w:p>
        </w:tc>
        <w:tc>
          <w:tcPr>
            <w:tcW w:w="0" w:type="auto"/>
            <w:vAlign w:val="center"/>
            <w:hideMark/>
          </w:tcPr>
          <w:p w14:paraId="4BDA399E" w14:textId="77777777" w:rsidR="000C4F2C" w:rsidRPr="000C4F2C" w:rsidRDefault="000C4F2C" w:rsidP="000C4F2C">
            <w:pPr>
              <w:rPr>
                <w:b/>
                <w:bCs/>
              </w:rPr>
            </w:pPr>
          </w:p>
        </w:tc>
        <w:tc>
          <w:tcPr>
            <w:tcW w:w="0" w:type="auto"/>
            <w:vAlign w:val="center"/>
            <w:hideMark/>
          </w:tcPr>
          <w:p w14:paraId="0DE14442" w14:textId="77777777" w:rsidR="000C4F2C" w:rsidRPr="000C4F2C" w:rsidRDefault="000C4F2C" w:rsidP="000C4F2C">
            <w:r w:rsidRPr="000C4F2C">
              <w:t>Regulatory and legal communication</w:t>
            </w:r>
          </w:p>
        </w:tc>
      </w:tr>
      <w:tr w:rsidR="000C4F2C" w:rsidRPr="000C4F2C" w14:paraId="61268A78" w14:textId="77777777" w:rsidTr="000C4F2C">
        <w:trPr>
          <w:tblCellSpacing w:w="15" w:type="dxa"/>
        </w:trPr>
        <w:tc>
          <w:tcPr>
            <w:tcW w:w="0" w:type="auto"/>
            <w:vAlign w:val="center"/>
            <w:hideMark/>
          </w:tcPr>
          <w:p w14:paraId="3F172412" w14:textId="77777777" w:rsidR="000C4F2C" w:rsidRPr="000C4F2C" w:rsidRDefault="000C4F2C" w:rsidP="000C4F2C">
            <w:pPr>
              <w:rPr>
                <w:b/>
                <w:bCs/>
              </w:rPr>
            </w:pPr>
            <w:r w:rsidRPr="000C4F2C">
              <w:rPr>
                <w:b/>
                <w:bCs/>
              </w:rPr>
              <w:t>Communications Lead</w:t>
            </w:r>
          </w:p>
        </w:tc>
        <w:tc>
          <w:tcPr>
            <w:tcW w:w="0" w:type="auto"/>
            <w:vAlign w:val="center"/>
            <w:hideMark/>
          </w:tcPr>
          <w:p w14:paraId="75CF967C" w14:textId="77777777" w:rsidR="000C4F2C" w:rsidRPr="000C4F2C" w:rsidRDefault="000C4F2C" w:rsidP="000C4F2C">
            <w:pPr>
              <w:rPr>
                <w:b/>
                <w:bCs/>
              </w:rPr>
            </w:pPr>
          </w:p>
        </w:tc>
        <w:tc>
          <w:tcPr>
            <w:tcW w:w="0" w:type="auto"/>
            <w:vAlign w:val="center"/>
            <w:hideMark/>
          </w:tcPr>
          <w:p w14:paraId="37CD0BFB" w14:textId="77777777" w:rsidR="000C4F2C" w:rsidRPr="000C4F2C" w:rsidRDefault="000C4F2C" w:rsidP="000C4F2C">
            <w:pPr>
              <w:rPr>
                <w:b/>
                <w:bCs/>
              </w:rPr>
            </w:pPr>
          </w:p>
        </w:tc>
        <w:tc>
          <w:tcPr>
            <w:tcW w:w="0" w:type="auto"/>
            <w:vAlign w:val="center"/>
            <w:hideMark/>
          </w:tcPr>
          <w:p w14:paraId="50517C9E" w14:textId="77777777" w:rsidR="000C4F2C" w:rsidRPr="000C4F2C" w:rsidRDefault="000C4F2C" w:rsidP="000C4F2C">
            <w:r w:rsidRPr="000C4F2C">
              <w:t>Stakeholder and public relations communication</w:t>
            </w:r>
          </w:p>
        </w:tc>
      </w:tr>
    </w:tbl>
    <w:p w14:paraId="1E9B0BF7" w14:textId="77777777" w:rsidR="000C4F2C" w:rsidRPr="000C4F2C" w:rsidRDefault="000C4F2C" w:rsidP="000C4F2C">
      <w:pPr>
        <w:rPr>
          <w:b/>
          <w:bCs/>
        </w:rPr>
      </w:pPr>
      <w:r w:rsidRPr="000C4F2C">
        <w:rPr>
          <w:b/>
          <w:bCs/>
        </w:rPr>
        <w:pict w14:anchorId="34C45F60">
          <v:rect id="_x0000_i1121" style="width:0;height:1.5pt" o:hralign="center" o:hrstd="t" o:hr="t" fillcolor="#a0a0a0" stroked="f"/>
        </w:pict>
      </w:r>
    </w:p>
    <w:p w14:paraId="3D26CB90" w14:textId="77777777" w:rsidR="000C4F2C" w:rsidRPr="000C4F2C" w:rsidRDefault="000C4F2C" w:rsidP="000C4F2C">
      <w:pPr>
        <w:rPr>
          <w:b/>
          <w:bCs/>
        </w:rPr>
      </w:pPr>
      <w:r w:rsidRPr="000C4F2C">
        <w:rPr>
          <w:b/>
          <w:bCs/>
        </w:rPr>
        <w:t>4. Incident Categories &amp; Severity Levels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7"/>
        <w:gridCol w:w="4543"/>
      </w:tblGrid>
      <w:tr w:rsidR="000C4F2C" w:rsidRPr="000C4F2C" w14:paraId="1BEC7C6D" w14:textId="77777777" w:rsidTr="000C4F2C">
        <w:trPr>
          <w:tblHeader/>
          <w:tblCellSpacing w:w="15" w:type="dxa"/>
        </w:trPr>
        <w:tc>
          <w:tcPr>
            <w:tcW w:w="0" w:type="auto"/>
            <w:vAlign w:val="center"/>
            <w:hideMark/>
          </w:tcPr>
          <w:p w14:paraId="145C1C12" w14:textId="77777777" w:rsidR="000C4F2C" w:rsidRPr="000C4F2C" w:rsidRDefault="000C4F2C" w:rsidP="000C4F2C">
            <w:pPr>
              <w:rPr>
                <w:b/>
                <w:bCs/>
              </w:rPr>
            </w:pPr>
            <w:r w:rsidRPr="000C4F2C">
              <w:rPr>
                <w:b/>
                <w:bCs/>
              </w:rPr>
              <w:lastRenderedPageBreak/>
              <w:t>Category</w:t>
            </w:r>
          </w:p>
        </w:tc>
        <w:tc>
          <w:tcPr>
            <w:tcW w:w="0" w:type="auto"/>
            <w:vAlign w:val="center"/>
            <w:hideMark/>
          </w:tcPr>
          <w:p w14:paraId="2CADA054" w14:textId="77777777" w:rsidR="000C4F2C" w:rsidRPr="000C4F2C" w:rsidRDefault="000C4F2C" w:rsidP="000C4F2C">
            <w:pPr>
              <w:rPr>
                <w:b/>
                <w:bCs/>
              </w:rPr>
            </w:pPr>
            <w:r w:rsidRPr="000C4F2C">
              <w:rPr>
                <w:b/>
                <w:bCs/>
              </w:rPr>
              <w:t>Examples</w:t>
            </w:r>
          </w:p>
        </w:tc>
      </w:tr>
      <w:tr w:rsidR="000C4F2C" w:rsidRPr="000C4F2C" w14:paraId="0448CF72" w14:textId="77777777" w:rsidTr="000C4F2C">
        <w:trPr>
          <w:tblCellSpacing w:w="15" w:type="dxa"/>
        </w:trPr>
        <w:tc>
          <w:tcPr>
            <w:tcW w:w="0" w:type="auto"/>
            <w:vAlign w:val="center"/>
            <w:hideMark/>
          </w:tcPr>
          <w:p w14:paraId="5A6E2721" w14:textId="77777777" w:rsidR="000C4F2C" w:rsidRPr="000C4F2C" w:rsidRDefault="000C4F2C" w:rsidP="000C4F2C">
            <w:pPr>
              <w:rPr>
                <w:b/>
                <w:bCs/>
              </w:rPr>
            </w:pPr>
            <w:r w:rsidRPr="000C4F2C">
              <w:rPr>
                <w:b/>
                <w:bCs/>
              </w:rPr>
              <w:t>Phishing</w:t>
            </w:r>
          </w:p>
        </w:tc>
        <w:tc>
          <w:tcPr>
            <w:tcW w:w="0" w:type="auto"/>
            <w:vAlign w:val="center"/>
            <w:hideMark/>
          </w:tcPr>
          <w:p w14:paraId="4EE00C68" w14:textId="77777777" w:rsidR="000C4F2C" w:rsidRPr="000C4F2C" w:rsidRDefault="000C4F2C" w:rsidP="000C4F2C">
            <w:r w:rsidRPr="000C4F2C">
              <w:t>Suspicious emails, credential harvesting</w:t>
            </w:r>
          </w:p>
        </w:tc>
      </w:tr>
      <w:tr w:rsidR="000C4F2C" w:rsidRPr="000C4F2C" w14:paraId="3AEE680C" w14:textId="77777777" w:rsidTr="000C4F2C">
        <w:trPr>
          <w:tblCellSpacing w:w="15" w:type="dxa"/>
        </w:trPr>
        <w:tc>
          <w:tcPr>
            <w:tcW w:w="0" w:type="auto"/>
            <w:vAlign w:val="center"/>
            <w:hideMark/>
          </w:tcPr>
          <w:p w14:paraId="784AFDD6" w14:textId="77777777" w:rsidR="000C4F2C" w:rsidRPr="000C4F2C" w:rsidRDefault="000C4F2C" w:rsidP="000C4F2C">
            <w:pPr>
              <w:rPr>
                <w:b/>
                <w:bCs/>
              </w:rPr>
            </w:pPr>
            <w:r w:rsidRPr="000C4F2C">
              <w:rPr>
                <w:b/>
                <w:bCs/>
              </w:rPr>
              <w:t>Malware</w:t>
            </w:r>
          </w:p>
        </w:tc>
        <w:tc>
          <w:tcPr>
            <w:tcW w:w="0" w:type="auto"/>
            <w:vAlign w:val="center"/>
            <w:hideMark/>
          </w:tcPr>
          <w:p w14:paraId="6FF8E823" w14:textId="77777777" w:rsidR="000C4F2C" w:rsidRPr="000C4F2C" w:rsidRDefault="000C4F2C" w:rsidP="000C4F2C">
            <w:r w:rsidRPr="000C4F2C">
              <w:t>Ransomware, spyware, viruses</w:t>
            </w:r>
          </w:p>
        </w:tc>
      </w:tr>
      <w:tr w:rsidR="000C4F2C" w:rsidRPr="000C4F2C" w14:paraId="2D63CC8B" w14:textId="77777777" w:rsidTr="000C4F2C">
        <w:trPr>
          <w:tblCellSpacing w:w="15" w:type="dxa"/>
        </w:trPr>
        <w:tc>
          <w:tcPr>
            <w:tcW w:w="0" w:type="auto"/>
            <w:vAlign w:val="center"/>
            <w:hideMark/>
          </w:tcPr>
          <w:p w14:paraId="671A6C66" w14:textId="77777777" w:rsidR="000C4F2C" w:rsidRPr="000C4F2C" w:rsidRDefault="000C4F2C" w:rsidP="000C4F2C">
            <w:pPr>
              <w:rPr>
                <w:b/>
                <w:bCs/>
              </w:rPr>
            </w:pPr>
            <w:r w:rsidRPr="000C4F2C">
              <w:rPr>
                <w:b/>
                <w:bCs/>
              </w:rPr>
              <w:t>Unauthorized Access</w:t>
            </w:r>
          </w:p>
        </w:tc>
        <w:tc>
          <w:tcPr>
            <w:tcW w:w="0" w:type="auto"/>
            <w:vAlign w:val="center"/>
            <w:hideMark/>
          </w:tcPr>
          <w:p w14:paraId="7BBD6F4D" w14:textId="77777777" w:rsidR="000C4F2C" w:rsidRPr="000C4F2C" w:rsidRDefault="000C4F2C" w:rsidP="000C4F2C">
            <w:r w:rsidRPr="000C4F2C">
              <w:t>Stolen credentials, privilege misuse</w:t>
            </w:r>
          </w:p>
        </w:tc>
      </w:tr>
      <w:tr w:rsidR="000C4F2C" w:rsidRPr="000C4F2C" w14:paraId="381B925B" w14:textId="77777777" w:rsidTr="000C4F2C">
        <w:trPr>
          <w:tblCellSpacing w:w="15" w:type="dxa"/>
        </w:trPr>
        <w:tc>
          <w:tcPr>
            <w:tcW w:w="0" w:type="auto"/>
            <w:vAlign w:val="center"/>
            <w:hideMark/>
          </w:tcPr>
          <w:p w14:paraId="68AAB5CD" w14:textId="77777777" w:rsidR="000C4F2C" w:rsidRPr="000C4F2C" w:rsidRDefault="000C4F2C" w:rsidP="000C4F2C">
            <w:pPr>
              <w:rPr>
                <w:b/>
                <w:bCs/>
              </w:rPr>
            </w:pPr>
            <w:r w:rsidRPr="000C4F2C">
              <w:rPr>
                <w:b/>
                <w:bCs/>
              </w:rPr>
              <w:t>Data Breach</w:t>
            </w:r>
          </w:p>
        </w:tc>
        <w:tc>
          <w:tcPr>
            <w:tcW w:w="0" w:type="auto"/>
            <w:vAlign w:val="center"/>
            <w:hideMark/>
          </w:tcPr>
          <w:p w14:paraId="780D7A59" w14:textId="77777777" w:rsidR="000C4F2C" w:rsidRPr="000C4F2C" w:rsidRDefault="000C4F2C" w:rsidP="000C4F2C">
            <w:r w:rsidRPr="000C4F2C">
              <w:t>PII, PHI, financial info exfiltration</w:t>
            </w:r>
          </w:p>
        </w:tc>
      </w:tr>
      <w:tr w:rsidR="000C4F2C" w:rsidRPr="000C4F2C" w14:paraId="7D573C25" w14:textId="77777777" w:rsidTr="000C4F2C">
        <w:trPr>
          <w:tblCellSpacing w:w="15" w:type="dxa"/>
        </w:trPr>
        <w:tc>
          <w:tcPr>
            <w:tcW w:w="0" w:type="auto"/>
            <w:vAlign w:val="center"/>
            <w:hideMark/>
          </w:tcPr>
          <w:p w14:paraId="14CA87CD" w14:textId="77777777" w:rsidR="000C4F2C" w:rsidRPr="000C4F2C" w:rsidRDefault="000C4F2C" w:rsidP="000C4F2C">
            <w:pPr>
              <w:rPr>
                <w:b/>
                <w:bCs/>
              </w:rPr>
            </w:pPr>
            <w:r w:rsidRPr="000C4F2C">
              <w:rPr>
                <w:b/>
                <w:bCs/>
              </w:rPr>
              <w:t>Denial of Service</w:t>
            </w:r>
          </w:p>
        </w:tc>
        <w:tc>
          <w:tcPr>
            <w:tcW w:w="0" w:type="auto"/>
            <w:vAlign w:val="center"/>
            <w:hideMark/>
          </w:tcPr>
          <w:p w14:paraId="38C875AD" w14:textId="77777777" w:rsidR="000C4F2C" w:rsidRPr="000C4F2C" w:rsidRDefault="000C4F2C" w:rsidP="000C4F2C">
            <w:r w:rsidRPr="000C4F2C">
              <w:t>DDoS attacks disrupting service availability</w:t>
            </w:r>
          </w:p>
        </w:tc>
      </w:tr>
    </w:tbl>
    <w:p w14:paraId="16AB5087" w14:textId="77777777" w:rsidR="000C4F2C" w:rsidRPr="000C4F2C" w:rsidRDefault="000C4F2C" w:rsidP="000C4F2C">
      <w:pPr>
        <w:rPr>
          <w:b/>
          <w:bCs/>
        </w:rPr>
      </w:pPr>
      <w:r w:rsidRPr="000C4F2C">
        <w:rPr>
          <w:b/>
          <w:bCs/>
        </w:rPr>
        <w:t>Severity Levels</w:t>
      </w:r>
    </w:p>
    <w:p w14:paraId="453D12E6" w14:textId="77777777" w:rsidR="000C4F2C" w:rsidRPr="000C4F2C" w:rsidRDefault="000C4F2C" w:rsidP="000C4F2C">
      <w:pPr>
        <w:numPr>
          <w:ilvl w:val="0"/>
          <w:numId w:val="10"/>
        </w:numPr>
        <w:rPr>
          <w:b/>
          <w:bCs/>
        </w:rPr>
      </w:pPr>
      <w:r w:rsidRPr="000C4F2C">
        <w:rPr>
          <w:b/>
          <w:bCs/>
        </w:rPr>
        <w:t>High – Major data loss, critical system outage, legal impact</w:t>
      </w:r>
    </w:p>
    <w:p w14:paraId="530AE2D0" w14:textId="77777777" w:rsidR="000C4F2C" w:rsidRPr="000C4F2C" w:rsidRDefault="000C4F2C" w:rsidP="000C4F2C">
      <w:pPr>
        <w:numPr>
          <w:ilvl w:val="0"/>
          <w:numId w:val="10"/>
        </w:numPr>
        <w:rPr>
          <w:b/>
          <w:bCs/>
        </w:rPr>
      </w:pPr>
      <w:r w:rsidRPr="000C4F2C">
        <w:rPr>
          <w:b/>
          <w:bCs/>
        </w:rPr>
        <w:t>Medium – Contained access, no confirmed data loss</w:t>
      </w:r>
    </w:p>
    <w:p w14:paraId="63AC168F" w14:textId="77777777" w:rsidR="000C4F2C" w:rsidRPr="000C4F2C" w:rsidRDefault="000C4F2C" w:rsidP="000C4F2C">
      <w:pPr>
        <w:numPr>
          <w:ilvl w:val="0"/>
          <w:numId w:val="10"/>
        </w:numPr>
        <w:rPr>
          <w:b/>
          <w:bCs/>
        </w:rPr>
      </w:pPr>
      <w:r w:rsidRPr="000C4F2C">
        <w:rPr>
          <w:b/>
          <w:bCs/>
        </w:rPr>
        <w:t>Low – Suspicious activity with no immediate impact</w:t>
      </w:r>
    </w:p>
    <w:p w14:paraId="5BEA5359" w14:textId="77777777" w:rsidR="000C4F2C" w:rsidRPr="000C4F2C" w:rsidRDefault="000C4F2C" w:rsidP="000C4F2C">
      <w:pPr>
        <w:rPr>
          <w:b/>
          <w:bCs/>
        </w:rPr>
      </w:pPr>
      <w:r w:rsidRPr="000C4F2C">
        <w:rPr>
          <w:b/>
          <w:bCs/>
        </w:rPr>
        <w:pict w14:anchorId="6C8BAC88">
          <v:rect id="_x0000_i1122" style="width:0;height:1.5pt" o:hralign="center" o:hrstd="t" o:hr="t" fillcolor="#a0a0a0" stroked="f"/>
        </w:pict>
      </w:r>
    </w:p>
    <w:p w14:paraId="478C70A6" w14:textId="77777777" w:rsidR="000C4F2C" w:rsidRPr="000C4F2C" w:rsidRDefault="000C4F2C" w:rsidP="000C4F2C">
      <w:pPr>
        <w:rPr>
          <w:b/>
          <w:bCs/>
        </w:rPr>
      </w:pPr>
      <w:r w:rsidRPr="000C4F2C">
        <w:rPr>
          <w:b/>
          <w:bCs/>
        </w:rPr>
        <w:t>5. Incident Lifecycle &amp; Procedures</w:t>
      </w:r>
    </w:p>
    <w:p w14:paraId="71CA58AF" w14:textId="77777777" w:rsidR="000C4F2C" w:rsidRPr="000C4F2C" w:rsidRDefault="000C4F2C" w:rsidP="000C4F2C">
      <w:pPr>
        <w:rPr>
          <w:b/>
          <w:bCs/>
        </w:rPr>
      </w:pPr>
      <w:r w:rsidRPr="000C4F2C">
        <w:rPr>
          <w:b/>
          <w:bCs/>
        </w:rPr>
        <w:t>5.1 Identification</w:t>
      </w:r>
    </w:p>
    <w:p w14:paraId="7AB91D3E" w14:textId="77777777" w:rsidR="000C4F2C" w:rsidRPr="000C4F2C" w:rsidRDefault="000C4F2C" w:rsidP="000C4F2C">
      <w:pPr>
        <w:numPr>
          <w:ilvl w:val="0"/>
          <w:numId w:val="11"/>
        </w:numPr>
      </w:pPr>
      <w:r w:rsidRPr="000C4F2C">
        <w:t>Log detection method (SIEM alert, employee report, etc.)</w:t>
      </w:r>
    </w:p>
    <w:p w14:paraId="2AA3D47A" w14:textId="77777777" w:rsidR="000C4F2C" w:rsidRPr="000C4F2C" w:rsidRDefault="000C4F2C" w:rsidP="000C4F2C">
      <w:pPr>
        <w:numPr>
          <w:ilvl w:val="0"/>
          <w:numId w:val="11"/>
        </w:numPr>
      </w:pPr>
      <w:r w:rsidRPr="000C4F2C">
        <w:t>Triage alert severity</w:t>
      </w:r>
    </w:p>
    <w:p w14:paraId="6A1B1706" w14:textId="77777777" w:rsidR="000C4F2C" w:rsidRPr="000C4F2C" w:rsidRDefault="000C4F2C" w:rsidP="000C4F2C">
      <w:pPr>
        <w:numPr>
          <w:ilvl w:val="0"/>
          <w:numId w:val="11"/>
        </w:numPr>
      </w:pPr>
      <w:r w:rsidRPr="000C4F2C">
        <w:t>Assign incident ticket and notify the IRT</w:t>
      </w:r>
    </w:p>
    <w:p w14:paraId="2C4F1EB1" w14:textId="77777777" w:rsidR="000C4F2C" w:rsidRPr="000C4F2C" w:rsidRDefault="000C4F2C" w:rsidP="000C4F2C">
      <w:pPr>
        <w:rPr>
          <w:b/>
          <w:bCs/>
        </w:rPr>
      </w:pPr>
      <w:r w:rsidRPr="000C4F2C">
        <w:rPr>
          <w:b/>
          <w:bCs/>
        </w:rPr>
        <w:t>5.2 Containment</w:t>
      </w:r>
    </w:p>
    <w:p w14:paraId="72593A26" w14:textId="77777777" w:rsidR="000C4F2C" w:rsidRPr="000C4F2C" w:rsidRDefault="000C4F2C" w:rsidP="000C4F2C">
      <w:pPr>
        <w:numPr>
          <w:ilvl w:val="0"/>
          <w:numId w:val="12"/>
        </w:numPr>
      </w:pPr>
      <w:r w:rsidRPr="000C4F2C">
        <w:t>Isolate affected systems (network segmentation, user lockdown)</w:t>
      </w:r>
    </w:p>
    <w:p w14:paraId="6418B971" w14:textId="77777777" w:rsidR="000C4F2C" w:rsidRPr="000C4F2C" w:rsidRDefault="000C4F2C" w:rsidP="000C4F2C">
      <w:pPr>
        <w:numPr>
          <w:ilvl w:val="0"/>
          <w:numId w:val="12"/>
        </w:numPr>
      </w:pPr>
      <w:r w:rsidRPr="000C4F2C">
        <w:t>Take forensic images (before wiping/rebooting)</w:t>
      </w:r>
    </w:p>
    <w:p w14:paraId="238F04C9" w14:textId="77777777" w:rsidR="000C4F2C" w:rsidRPr="000C4F2C" w:rsidRDefault="000C4F2C" w:rsidP="000C4F2C">
      <w:pPr>
        <w:numPr>
          <w:ilvl w:val="0"/>
          <w:numId w:val="12"/>
        </w:numPr>
      </w:pPr>
      <w:r w:rsidRPr="000C4F2C">
        <w:t>Prevent further spread</w:t>
      </w:r>
    </w:p>
    <w:p w14:paraId="40B7599A" w14:textId="77777777" w:rsidR="000C4F2C" w:rsidRPr="000C4F2C" w:rsidRDefault="000C4F2C" w:rsidP="000C4F2C">
      <w:pPr>
        <w:rPr>
          <w:b/>
          <w:bCs/>
        </w:rPr>
      </w:pPr>
      <w:r w:rsidRPr="000C4F2C">
        <w:rPr>
          <w:b/>
          <w:bCs/>
        </w:rPr>
        <w:t>5.3 Eradication</w:t>
      </w:r>
    </w:p>
    <w:p w14:paraId="54F546D4" w14:textId="77777777" w:rsidR="000C4F2C" w:rsidRPr="000C4F2C" w:rsidRDefault="000C4F2C" w:rsidP="000C4F2C">
      <w:pPr>
        <w:numPr>
          <w:ilvl w:val="0"/>
          <w:numId w:val="13"/>
        </w:numPr>
      </w:pPr>
      <w:r w:rsidRPr="000C4F2C">
        <w:t>Remove malicious files/accounts</w:t>
      </w:r>
    </w:p>
    <w:p w14:paraId="60AB23B5" w14:textId="77777777" w:rsidR="000C4F2C" w:rsidRPr="000C4F2C" w:rsidRDefault="000C4F2C" w:rsidP="000C4F2C">
      <w:pPr>
        <w:numPr>
          <w:ilvl w:val="0"/>
          <w:numId w:val="13"/>
        </w:numPr>
      </w:pPr>
      <w:r w:rsidRPr="000C4F2C">
        <w:t>Patch vulnerabilities</w:t>
      </w:r>
    </w:p>
    <w:p w14:paraId="2085B7CA" w14:textId="77777777" w:rsidR="000C4F2C" w:rsidRPr="000C4F2C" w:rsidRDefault="000C4F2C" w:rsidP="000C4F2C">
      <w:pPr>
        <w:numPr>
          <w:ilvl w:val="0"/>
          <w:numId w:val="13"/>
        </w:numPr>
      </w:pPr>
      <w:r w:rsidRPr="000C4F2C">
        <w:t>Reset credentials and access points</w:t>
      </w:r>
    </w:p>
    <w:p w14:paraId="44E87C7A" w14:textId="77777777" w:rsidR="000C4F2C" w:rsidRPr="000C4F2C" w:rsidRDefault="000C4F2C" w:rsidP="000C4F2C">
      <w:pPr>
        <w:rPr>
          <w:b/>
          <w:bCs/>
        </w:rPr>
      </w:pPr>
      <w:r w:rsidRPr="000C4F2C">
        <w:rPr>
          <w:b/>
          <w:bCs/>
        </w:rPr>
        <w:lastRenderedPageBreak/>
        <w:t>5.4 Recovery</w:t>
      </w:r>
    </w:p>
    <w:p w14:paraId="25FC21B9" w14:textId="77777777" w:rsidR="000C4F2C" w:rsidRPr="000C4F2C" w:rsidRDefault="000C4F2C" w:rsidP="000C4F2C">
      <w:pPr>
        <w:numPr>
          <w:ilvl w:val="0"/>
          <w:numId w:val="14"/>
        </w:numPr>
      </w:pPr>
      <w:r w:rsidRPr="000C4F2C">
        <w:t>Restore from clean backups</w:t>
      </w:r>
    </w:p>
    <w:p w14:paraId="54A68209" w14:textId="77777777" w:rsidR="000C4F2C" w:rsidRPr="000C4F2C" w:rsidRDefault="000C4F2C" w:rsidP="000C4F2C">
      <w:pPr>
        <w:numPr>
          <w:ilvl w:val="0"/>
          <w:numId w:val="14"/>
        </w:numPr>
      </w:pPr>
      <w:r w:rsidRPr="000C4F2C">
        <w:t>Validate system integrity</w:t>
      </w:r>
    </w:p>
    <w:p w14:paraId="12D76638" w14:textId="77777777" w:rsidR="000C4F2C" w:rsidRPr="000C4F2C" w:rsidRDefault="000C4F2C" w:rsidP="000C4F2C">
      <w:pPr>
        <w:numPr>
          <w:ilvl w:val="0"/>
          <w:numId w:val="14"/>
        </w:numPr>
      </w:pPr>
      <w:r w:rsidRPr="000C4F2C">
        <w:t>Monitor for signs of reinfection</w:t>
      </w:r>
    </w:p>
    <w:p w14:paraId="6C7928BD" w14:textId="77777777" w:rsidR="000C4F2C" w:rsidRPr="000C4F2C" w:rsidRDefault="000C4F2C" w:rsidP="000C4F2C">
      <w:pPr>
        <w:rPr>
          <w:b/>
          <w:bCs/>
        </w:rPr>
      </w:pPr>
      <w:r w:rsidRPr="000C4F2C">
        <w:rPr>
          <w:b/>
          <w:bCs/>
        </w:rPr>
        <w:t>5.5 Lessons Learned</w:t>
      </w:r>
    </w:p>
    <w:p w14:paraId="7F1CD5EA" w14:textId="77777777" w:rsidR="000C4F2C" w:rsidRPr="000C4F2C" w:rsidRDefault="000C4F2C" w:rsidP="000C4F2C">
      <w:pPr>
        <w:numPr>
          <w:ilvl w:val="0"/>
          <w:numId w:val="15"/>
        </w:numPr>
      </w:pPr>
      <w:r w:rsidRPr="000C4F2C">
        <w:t>Conduct post-incident review (within 7 days)</w:t>
      </w:r>
    </w:p>
    <w:p w14:paraId="10476A92" w14:textId="77777777" w:rsidR="000C4F2C" w:rsidRPr="000C4F2C" w:rsidRDefault="000C4F2C" w:rsidP="000C4F2C">
      <w:pPr>
        <w:numPr>
          <w:ilvl w:val="0"/>
          <w:numId w:val="15"/>
        </w:numPr>
      </w:pPr>
      <w:r w:rsidRPr="000C4F2C">
        <w:t>Update IRP and training plans</w:t>
      </w:r>
    </w:p>
    <w:p w14:paraId="1ED0208F" w14:textId="77777777" w:rsidR="000C4F2C" w:rsidRPr="000C4F2C" w:rsidRDefault="000C4F2C" w:rsidP="000C4F2C">
      <w:pPr>
        <w:numPr>
          <w:ilvl w:val="0"/>
          <w:numId w:val="15"/>
        </w:numPr>
      </w:pPr>
      <w:r w:rsidRPr="000C4F2C">
        <w:t>Document findings in the IPR (Incident Progress Report)</w:t>
      </w:r>
    </w:p>
    <w:p w14:paraId="317DC64C" w14:textId="77777777" w:rsidR="000C4F2C" w:rsidRPr="000C4F2C" w:rsidRDefault="000C4F2C" w:rsidP="000C4F2C">
      <w:pPr>
        <w:rPr>
          <w:b/>
          <w:bCs/>
        </w:rPr>
      </w:pPr>
      <w:r w:rsidRPr="000C4F2C">
        <w:rPr>
          <w:b/>
          <w:bCs/>
        </w:rPr>
        <w:pict w14:anchorId="4566C242">
          <v:rect id="_x0000_i1123" style="width:0;height:1.5pt" o:hralign="center" o:hrstd="t" o:hr="t" fillcolor="#a0a0a0" stroked="f"/>
        </w:pict>
      </w:r>
    </w:p>
    <w:p w14:paraId="412D1BDD" w14:textId="77777777" w:rsidR="000C4F2C" w:rsidRPr="000C4F2C" w:rsidRDefault="000C4F2C" w:rsidP="000C4F2C">
      <w:pPr>
        <w:rPr>
          <w:b/>
          <w:bCs/>
        </w:rPr>
      </w:pPr>
      <w:r w:rsidRPr="000C4F2C">
        <w:rPr>
          <w:b/>
          <w:bCs/>
        </w:rPr>
        <w:t>6. Communication Plan</w:t>
      </w:r>
    </w:p>
    <w:p w14:paraId="7A92C759" w14:textId="77777777" w:rsidR="000C4F2C" w:rsidRPr="000C4F2C" w:rsidRDefault="000C4F2C" w:rsidP="000C4F2C">
      <w:pPr>
        <w:numPr>
          <w:ilvl w:val="0"/>
          <w:numId w:val="16"/>
        </w:numPr>
      </w:pPr>
      <w:r w:rsidRPr="000C4F2C">
        <w:t>Internal Notifications: All affected departments, leadership</w:t>
      </w:r>
    </w:p>
    <w:p w14:paraId="6BF687E8" w14:textId="77777777" w:rsidR="000C4F2C" w:rsidRPr="000C4F2C" w:rsidRDefault="000C4F2C" w:rsidP="000C4F2C">
      <w:pPr>
        <w:numPr>
          <w:ilvl w:val="0"/>
          <w:numId w:val="16"/>
        </w:numPr>
      </w:pPr>
      <w:r w:rsidRPr="000C4F2C">
        <w:t>External Notifications: Legal counsel, regulators, clients, media</w:t>
      </w:r>
    </w:p>
    <w:p w14:paraId="6BC8C2BE" w14:textId="77777777" w:rsidR="000C4F2C" w:rsidRPr="000C4F2C" w:rsidRDefault="000C4F2C" w:rsidP="000C4F2C">
      <w:pPr>
        <w:numPr>
          <w:ilvl w:val="0"/>
          <w:numId w:val="16"/>
        </w:numPr>
      </w:pPr>
      <w:r w:rsidRPr="000C4F2C">
        <w:t>Template Messaging: Use pre-approved statements to avoid misinformation</w:t>
      </w:r>
    </w:p>
    <w:p w14:paraId="0FE3EFC8" w14:textId="77777777" w:rsidR="000C4F2C" w:rsidRPr="000C4F2C" w:rsidRDefault="000C4F2C" w:rsidP="000C4F2C">
      <w:pPr>
        <w:rPr>
          <w:b/>
          <w:bCs/>
        </w:rPr>
      </w:pPr>
      <w:r w:rsidRPr="000C4F2C">
        <w:rPr>
          <w:b/>
          <w:bCs/>
        </w:rPr>
        <w:pict w14:anchorId="12374AB3">
          <v:rect id="_x0000_i1124" style="width:0;height:1.5pt" o:hralign="center" o:hrstd="t" o:hr="t" fillcolor="#a0a0a0" stroked="f"/>
        </w:pict>
      </w:r>
    </w:p>
    <w:p w14:paraId="36728FC4" w14:textId="77777777" w:rsidR="000C4F2C" w:rsidRPr="000C4F2C" w:rsidRDefault="000C4F2C" w:rsidP="000C4F2C">
      <w:pPr>
        <w:rPr>
          <w:b/>
          <w:bCs/>
        </w:rPr>
      </w:pPr>
      <w:r w:rsidRPr="000C4F2C">
        <w:rPr>
          <w:b/>
          <w:bCs/>
        </w:rPr>
        <w:t>7. Evidence Handling &amp; Chain of Custody</w:t>
      </w:r>
    </w:p>
    <w:p w14:paraId="64023050" w14:textId="77777777" w:rsidR="000C4F2C" w:rsidRPr="000C4F2C" w:rsidRDefault="000C4F2C" w:rsidP="000C4F2C">
      <w:pPr>
        <w:numPr>
          <w:ilvl w:val="0"/>
          <w:numId w:val="17"/>
        </w:numPr>
      </w:pPr>
      <w:r w:rsidRPr="000C4F2C">
        <w:t>Log all artifacts (logs, disk images, emails)</w:t>
      </w:r>
    </w:p>
    <w:p w14:paraId="43044C4C" w14:textId="77777777" w:rsidR="000C4F2C" w:rsidRPr="000C4F2C" w:rsidRDefault="000C4F2C" w:rsidP="000C4F2C">
      <w:pPr>
        <w:numPr>
          <w:ilvl w:val="0"/>
          <w:numId w:val="17"/>
        </w:numPr>
      </w:pPr>
      <w:r w:rsidRPr="000C4F2C">
        <w:t>Maintain chain of custody documentation</w:t>
      </w:r>
    </w:p>
    <w:p w14:paraId="16EFD448" w14:textId="77777777" w:rsidR="000C4F2C" w:rsidRPr="000C4F2C" w:rsidRDefault="000C4F2C" w:rsidP="000C4F2C">
      <w:pPr>
        <w:numPr>
          <w:ilvl w:val="0"/>
          <w:numId w:val="17"/>
        </w:numPr>
      </w:pPr>
      <w:r w:rsidRPr="000C4F2C">
        <w:t>Secure storage for forensic review and possible litigation</w:t>
      </w:r>
    </w:p>
    <w:p w14:paraId="09AF8B60" w14:textId="77777777" w:rsidR="000C4F2C" w:rsidRPr="000C4F2C" w:rsidRDefault="000C4F2C" w:rsidP="000C4F2C">
      <w:pPr>
        <w:rPr>
          <w:b/>
          <w:bCs/>
        </w:rPr>
      </w:pPr>
      <w:r w:rsidRPr="000C4F2C">
        <w:rPr>
          <w:b/>
          <w:bCs/>
        </w:rPr>
        <w:pict w14:anchorId="6E397E01">
          <v:rect id="_x0000_i1125" style="width:0;height:1.5pt" o:hralign="center" o:hrstd="t" o:hr="t" fillcolor="#a0a0a0" stroked="f"/>
        </w:pict>
      </w:r>
    </w:p>
    <w:p w14:paraId="2E82A4B6" w14:textId="77777777" w:rsidR="000C4F2C" w:rsidRPr="000C4F2C" w:rsidRDefault="000C4F2C" w:rsidP="000C4F2C">
      <w:pPr>
        <w:rPr>
          <w:b/>
          <w:bCs/>
        </w:rPr>
      </w:pPr>
      <w:r w:rsidRPr="000C4F2C">
        <w:rPr>
          <w:b/>
          <w:bCs/>
        </w:rPr>
        <w:t>8. Compliance Requirements</w:t>
      </w:r>
    </w:p>
    <w:p w14:paraId="64F5B4DA" w14:textId="77777777" w:rsidR="000C4F2C" w:rsidRPr="000C4F2C" w:rsidRDefault="000C4F2C" w:rsidP="000C4F2C">
      <w:pPr>
        <w:rPr>
          <w:b/>
          <w:bCs/>
        </w:rPr>
      </w:pPr>
      <w:r w:rsidRPr="000C4F2C">
        <w:rPr>
          <w:b/>
          <w:bCs/>
        </w:rPr>
        <w:t>Include relevant laws/regulations such as:</w:t>
      </w:r>
    </w:p>
    <w:p w14:paraId="41280E20" w14:textId="77777777" w:rsidR="000C4F2C" w:rsidRPr="000C4F2C" w:rsidRDefault="000C4F2C" w:rsidP="000C4F2C">
      <w:pPr>
        <w:numPr>
          <w:ilvl w:val="0"/>
          <w:numId w:val="18"/>
        </w:numPr>
      </w:pPr>
      <w:r w:rsidRPr="000C4F2C">
        <w:t>GDPR</w:t>
      </w:r>
    </w:p>
    <w:p w14:paraId="38B2AFED" w14:textId="77777777" w:rsidR="000C4F2C" w:rsidRPr="000C4F2C" w:rsidRDefault="000C4F2C" w:rsidP="000C4F2C">
      <w:pPr>
        <w:numPr>
          <w:ilvl w:val="0"/>
          <w:numId w:val="18"/>
        </w:numPr>
      </w:pPr>
      <w:r w:rsidRPr="000C4F2C">
        <w:t>CCPA</w:t>
      </w:r>
    </w:p>
    <w:p w14:paraId="3A13E9D2" w14:textId="77777777" w:rsidR="000C4F2C" w:rsidRPr="000C4F2C" w:rsidRDefault="000C4F2C" w:rsidP="000C4F2C">
      <w:pPr>
        <w:numPr>
          <w:ilvl w:val="0"/>
          <w:numId w:val="18"/>
        </w:numPr>
      </w:pPr>
      <w:r w:rsidRPr="000C4F2C">
        <w:t>HIPAA</w:t>
      </w:r>
    </w:p>
    <w:p w14:paraId="28FDE526" w14:textId="77777777" w:rsidR="000C4F2C" w:rsidRPr="000C4F2C" w:rsidRDefault="000C4F2C" w:rsidP="000C4F2C">
      <w:pPr>
        <w:numPr>
          <w:ilvl w:val="0"/>
          <w:numId w:val="18"/>
        </w:numPr>
      </w:pPr>
      <w:r w:rsidRPr="000C4F2C">
        <w:t>PCI-DSS</w:t>
      </w:r>
    </w:p>
    <w:p w14:paraId="2F4C9DB3" w14:textId="77777777" w:rsidR="000C4F2C" w:rsidRPr="000C4F2C" w:rsidRDefault="000C4F2C" w:rsidP="000C4F2C">
      <w:pPr>
        <w:numPr>
          <w:ilvl w:val="0"/>
          <w:numId w:val="18"/>
        </w:numPr>
      </w:pPr>
      <w:r w:rsidRPr="000C4F2C">
        <w:t>SOX</w:t>
      </w:r>
    </w:p>
    <w:p w14:paraId="294AAD07" w14:textId="77777777" w:rsidR="000C4F2C" w:rsidRPr="000C4F2C" w:rsidRDefault="000C4F2C" w:rsidP="000C4F2C">
      <w:pPr>
        <w:numPr>
          <w:ilvl w:val="0"/>
          <w:numId w:val="18"/>
        </w:numPr>
      </w:pPr>
      <w:r w:rsidRPr="000C4F2C">
        <w:lastRenderedPageBreak/>
        <w:t>Industry-specific requirements</w:t>
      </w:r>
    </w:p>
    <w:p w14:paraId="30DCA695" w14:textId="77777777" w:rsidR="000C4F2C" w:rsidRPr="000C4F2C" w:rsidRDefault="000C4F2C" w:rsidP="000C4F2C">
      <w:pPr>
        <w:rPr>
          <w:b/>
          <w:bCs/>
        </w:rPr>
      </w:pPr>
      <w:r w:rsidRPr="000C4F2C">
        <w:rPr>
          <w:b/>
          <w:bCs/>
        </w:rPr>
        <w:pict w14:anchorId="2EA3E96C">
          <v:rect id="_x0000_i1126" style="width:0;height:1.5pt" o:hralign="center" o:hrstd="t" o:hr="t" fillcolor="#a0a0a0" stroked="f"/>
        </w:pict>
      </w:r>
    </w:p>
    <w:p w14:paraId="1BEF6F15" w14:textId="77777777" w:rsidR="000C4F2C" w:rsidRPr="000C4F2C" w:rsidRDefault="000C4F2C" w:rsidP="000C4F2C">
      <w:pPr>
        <w:rPr>
          <w:b/>
          <w:bCs/>
        </w:rPr>
      </w:pPr>
      <w:r w:rsidRPr="000C4F2C">
        <w:rPr>
          <w:b/>
          <w:bCs/>
        </w:rPr>
        <w:t>9. Testing &amp; Training</w:t>
      </w:r>
    </w:p>
    <w:p w14:paraId="4B854102" w14:textId="77777777" w:rsidR="000C4F2C" w:rsidRPr="000C4F2C" w:rsidRDefault="000C4F2C" w:rsidP="000C4F2C">
      <w:pPr>
        <w:numPr>
          <w:ilvl w:val="0"/>
          <w:numId w:val="19"/>
        </w:numPr>
      </w:pPr>
      <w:r w:rsidRPr="000C4F2C">
        <w:t>Tabletop Exercises: Run biannually with IRT</w:t>
      </w:r>
    </w:p>
    <w:p w14:paraId="521BD566" w14:textId="77777777" w:rsidR="000C4F2C" w:rsidRPr="000C4F2C" w:rsidRDefault="000C4F2C" w:rsidP="000C4F2C">
      <w:pPr>
        <w:numPr>
          <w:ilvl w:val="0"/>
          <w:numId w:val="19"/>
        </w:numPr>
      </w:pPr>
      <w:r w:rsidRPr="000C4F2C">
        <w:t>Employee Awareness: Annual training on incident reporting</w:t>
      </w:r>
    </w:p>
    <w:p w14:paraId="10D68492" w14:textId="77777777" w:rsidR="000C4F2C" w:rsidRPr="000C4F2C" w:rsidRDefault="000C4F2C" w:rsidP="000C4F2C">
      <w:pPr>
        <w:numPr>
          <w:ilvl w:val="0"/>
          <w:numId w:val="19"/>
        </w:numPr>
      </w:pPr>
      <w:r w:rsidRPr="000C4F2C">
        <w:t>Drills: Simulate phishing and malware response quarterly</w:t>
      </w:r>
    </w:p>
    <w:p w14:paraId="10A898B4" w14:textId="77777777" w:rsidR="000C4F2C" w:rsidRPr="000C4F2C" w:rsidRDefault="000C4F2C" w:rsidP="000C4F2C">
      <w:pPr>
        <w:rPr>
          <w:b/>
          <w:bCs/>
        </w:rPr>
      </w:pPr>
      <w:r w:rsidRPr="000C4F2C">
        <w:rPr>
          <w:b/>
          <w:bCs/>
        </w:rPr>
        <w:pict w14:anchorId="613E8DDA">
          <v:rect id="_x0000_i1127" style="width:0;height:1.5pt" o:hralign="center" o:hrstd="t" o:hr="t" fillcolor="#a0a0a0" stroked="f"/>
        </w:pict>
      </w:r>
    </w:p>
    <w:p w14:paraId="2EF6E5B1" w14:textId="77777777" w:rsidR="000C4F2C" w:rsidRPr="000C4F2C" w:rsidRDefault="000C4F2C" w:rsidP="000C4F2C">
      <w:pPr>
        <w:rPr>
          <w:b/>
          <w:bCs/>
        </w:rPr>
      </w:pPr>
      <w:r w:rsidRPr="000C4F2C">
        <w:rPr>
          <w:b/>
          <w:bCs/>
        </w:rPr>
        <w:t>10. Document Control</w:t>
      </w:r>
    </w:p>
    <w:p w14:paraId="50D688E6" w14:textId="77777777" w:rsidR="000C4F2C" w:rsidRPr="000C4F2C" w:rsidRDefault="000C4F2C" w:rsidP="000C4F2C">
      <w:pPr>
        <w:numPr>
          <w:ilvl w:val="0"/>
          <w:numId w:val="20"/>
        </w:numPr>
      </w:pPr>
      <w:r w:rsidRPr="000C4F2C">
        <w:t>Plan Owner: Name / Role</w:t>
      </w:r>
    </w:p>
    <w:p w14:paraId="514EB1FA" w14:textId="77777777" w:rsidR="000C4F2C" w:rsidRPr="000C4F2C" w:rsidRDefault="000C4F2C" w:rsidP="000C4F2C">
      <w:pPr>
        <w:numPr>
          <w:ilvl w:val="0"/>
          <w:numId w:val="20"/>
        </w:numPr>
      </w:pPr>
      <w:r w:rsidRPr="000C4F2C">
        <w:t>Last Reviewed: YYYY-MM-DD</w:t>
      </w:r>
    </w:p>
    <w:p w14:paraId="530E962A" w14:textId="77777777" w:rsidR="000C4F2C" w:rsidRPr="000C4F2C" w:rsidRDefault="000C4F2C" w:rsidP="000C4F2C">
      <w:pPr>
        <w:numPr>
          <w:ilvl w:val="0"/>
          <w:numId w:val="20"/>
        </w:numPr>
      </w:pPr>
      <w:r w:rsidRPr="000C4F2C">
        <w:t>Next Review Due: YYYY-MM-DD</w:t>
      </w:r>
    </w:p>
    <w:p w14:paraId="71A3BAFF" w14:textId="77777777" w:rsidR="000C4F2C" w:rsidRPr="000C4F2C" w:rsidRDefault="000C4F2C" w:rsidP="000C4F2C">
      <w:pPr>
        <w:numPr>
          <w:ilvl w:val="0"/>
          <w:numId w:val="20"/>
        </w:numPr>
      </w:pPr>
      <w:r w:rsidRPr="000C4F2C">
        <w:t>Version: v1.0</w:t>
      </w:r>
    </w:p>
    <w:p w14:paraId="2C7F9402" w14:textId="77777777" w:rsidR="00F37D51" w:rsidRDefault="00F37D51"/>
    <w:sectPr w:rsidR="00F37D51" w:rsidSect="005337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674168" w14:textId="77777777" w:rsidR="00F37D51" w:rsidRDefault="00F37D51" w:rsidP="00F37D51">
      <w:pPr>
        <w:spacing w:after="0" w:line="240" w:lineRule="auto"/>
      </w:pPr>
      <w:r>
        <w:separator/>
      </w:r>
    </w:p>
  </w:endnote>
  <w:endnote w:type="continuationSeparator" w:id="0">
    <w:p w14:paraId="3269FC4E" w14:textId="77777777" w:rsidR="00F37D51" w:rsidRDefault="00F37D51" w:rsidP="00F37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Raleway">
    <w:panose1 w:val="020B05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9785E" w14:textId="5D19A665" w:rsidR="00F37D51" w:rsidRDefault="00143245" w:rsidP="00F37D51">
    <w:pPr>
      <w:pStyle w:val="Footer"/>
      <w:jc w:val="center"/>
    </w:pPr>
    <w:r>
      <w:pict w14:anchorId="2D3B758E">
        <v:rect id="_x0000_i1027" style="width:0;height:1.5pt" o:hralign="center" o:hrstd="t" o:hr="t" fillcolor="#a0a0a0" stroked="f"/>
      </w:pict>
    </w:r>
  </w:p>
  <w:p w14:paraId="67006BDD" w14:textId="77777777" w:rsidR="00F37D51" w:rsidRDefault="00F37D51" w:rsidP="00F37D51">
    <w:pPr>
      <w:pStyle w:val="Footer"/>
      <w:jc w:val="center"/>
    </w:pPr>
  </w:p>
  <w:p w14:paraId="546EC907" w14:textId="195EDAE6" w:rsidR="00F37D51" w:rsidRDefault="00F37D51" w:rsidP="00F37D51">
    <w:pPr>
      <w:pStyle w:val="Footer"/>
      <w:jc w:val="center"/>
    </w:pPr>
    <w:r>
      <w:t>Company Name | City, State | Website | Contact Phone Number | Contact Email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7FDA3" w14:textId="50D329E9" w:rsidR="00A21A2F" w:rsidRPr="00A21A2F" w:rsidRDefault="00A21A2F" w:rsidP="00A21A2F">
    <w:pPr>
      <w:pStyle w:val="Footer"/>
      <w:jc w:val="center"/>
      <w:rPr>
        <w:rFonts w:ascii="Raleway" w:hAnsi="Raleway"/>
        <w:sz w:val="20"/>
        <w:szCs w:val="20"/>
      </w:rPr>
    </w:pPr>
    <w:r w:rsidRPr="00A21A2F">
      <w:rPr>
        <w:rFonts w:ascii="Raleway" w:hAnsi="Raleway"/>
        <w:sz w:val="20"/>
        <w:szCs w:val="20"/>
      </w:rPr>
      <w:t>Specific Gravity Group, Inc. | Princeton, NJ | specgravity.com | (844) 700-4728 | info@specgravity.com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2D3EE" w14:textId="77777777" w:rsidR="00F37D51" w:rsidRDefault="00F37D51" w:rsidP="00F37D51">
      <w:pPr>
        <w:spacing w:after="0" w:line="240" w:lineRule="auto"/>
      </w:pPr>
      <w:r>
        <w:separator/>
      </w:r>
    </w:p>
  </w:footnote>
  <w:footnote w:type="continuationSeparator" w:id="0">
    <w:p w14:paraId="53567803" w14:textId="77777777" w:rsidR="00F37D51" w:rsidRDefault="00F37D51" w:rsidP="00F37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ADB75" w14:textId="2E0EE1E4" w:rsidR="00F37D51" w:rsidRDefault="00F37D51">
    <w:pPr>
      <w:pStyle w:val="Header"/>
    </w:pPr>
    <w:r>
      <w:rPr>
        <w:noProof/>
      </w:rPr>
      <w:drawing>
        <wp:anchor distT="0" distB="0" distL="114300" distR="114300" simplePos="0" relativeHeight="251658240" behindDoc="0" locked="0" layoutInCell="1" allowOverlap="1" wp14:anchorId="0BFCC09F" wp14:editId="08B8FF04">
          <wp:simplePos x="0" y="0"/>
          <wp:positionH relativeFrom="column">
            <wp:posOffset>-866775</wp:posOffset>
          </wp:positionH>
          <wp:positionV relativeFrom="paragraph">
            <wp:posOffset>-456565</wp:posOffset>
          </wp:positionV>
          <wp:extent cx="876300" cy="876300"/>
          <wp:effectExtent l="0" t="0" r="0" b="0"/>
          <wp:wrapSquare wrapText="bothSides"/>
          <wp:docPr id="1577794092" name="Picture 1" descr="A grey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144155" name="Picture 1" descr="A grey circle with white text&#10;&#10;AI-generated content may be incorrec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F1C57" w14:textId="7B3E2906" w:rsidR="00A643CC" w:rsidRDefault="00533730">
    <w:pPr>
      <w:pStyle w:val="Header"/>
    </w:pPr>
    <w:r>
      <w:rPr>
        <w:noProof/>
      </w:rPr>
      <w:drawing>
        <wp:anchor distT="0" distB="0" distL="114300" distR="114300" simplePos="0" relativeHeight="251659264" behindDoc="0" locked="0" layoutInCell="1" allowOverlap="1" wp14:anchorId="1AB8CDDB" wp14:editId="31314272">
          <wp:simplePos x="0" y="0"/>
          <wp:positionH relativeFrom="column">
            <wp:posOffset>-752475</wp:posOffset>
          </wp:positionH>
          <wp:positionV relativeFrom="paragraph">
            <wp:posOffset>-371475</wp:posOffset>
          </wp:positionV>
          <wp:extent cx="885825" cy="702945"/>
          <wp:effectExtent l="0" t="0" r="9525" b="1905"/>
          <wp:wrapSquare wrapText="bothSides"/>
          <wp:docPr id="1518030811"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0167" name="Picture 2"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858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3FF"/>
    <w:multiLevelType w:val="multilevel"/>
    <w:tmpl w:val="58F6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62A15"/>
    <w:multiLevelType w:val="multilevel"/>
    <w:tmpl w:val="6700F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E7F1E"/>
    <w:multiLevelType w:val="multilevel"/>
    <w:tmpl w:val="D20CA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B32719"/>
    <w:multiLevelType w:val="multilevel"/>
    <w:tmpl w:val="286C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5D7EA8"/>
    <w:multiLevelType w:val="multilevel"/>
    <w:tmpl w:val="9BF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A13FD"/>
    <w:multiLevelType w:val="multilevel"/>
    <w:tmpl w:val="1C54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6625FA"/>
    <w:multiLevelType w:val="multilevel"/>
    <w:tmpl w:val="4928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6C7E80"/>
    <w:multiLevelType w:val="multilevel"/>
    <w:tmpl w:val="84A0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EB0B90"/>
    <w:multiLevelType w:val="multilevel"/>
    <w:tmpl w:val="86DE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55D7F"/>
    <w:multiLevelType w:val="multilevel"/>
    <w:tmpl w:val="4AA88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F1FF8"/>
    <w:multiLevelType w:val="multilevel"/>
    <w:tmpl w:val="68A8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D67A2A"/>
    <w:multiLevelType w:val="multilevel"/>
    <w:tmpl w:val="FF389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B6DD5"/>
    <w:multiLevelType w:val="multilevel"/>
    <w:tmpl w:val="B8C8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B2BCB"/>
    <w:multiLevelType w:val="multilevel"/>
    <w:tmpl w:val="73C4A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383453"/>
    <w:multiLevelType w:val="multilevel"/>
    <w:tmpl w:val="3E14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5515F8"/>
    <w:multiLevelType w:val="multilevel"/>
    <w:tmpl w:val="DE7A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425CD3"/>
    <w:multiLevelType w:val="multilevel"/>
    <w:tmpl w:val="941A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95135"/>
    <w:multiLevelType w:val="multilevel"/>
    <w:tmpl w:val="35C2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3C6B66"/>
    <w:multiLevelType w:val="multilevel"/>
    <w:tmpl w:val="FB72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183431"/>
    <w:multiLevelType w:val="multilevel"/>
    <w:tmpl w:val="0F9E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256469">
    <w:abstractNumId w:val="2"/>
  </w:num>
  <w:num w:numId="2" w16cid:durableId="2021932514">
    <w:abstractNumId w:val="19"/>
  </w:num>
  <w:num w:numId="3" w16cid:durableId="1861360432">
    <w:abstractNumId w:val="11"/>
  </w:num>
  <w:num w:numId="4" w16cid:durableId="682169619">
    <w:abstractNumId w:val="7"/>
  </w:num>
  <w:num w:numId="5" w16cid:durableId="1343125714">
    <w:abstractNumId w:val="16"/>
  </w:num>
  <w:num w:numId="6" w16cid:durableId="1740058541">
    <w:abstractNumId w:val="17"/>
  </w:num>
  <w:num w:numId="7" w16cid:durableId="106658541">
    <w:abstractNumId w:val="3"/>
  </w:num>
  <w:num w:numId="8" w16cid:durableId="925381585">
    <w:abstractNumId w:val="9"/>
  </w:num>
  <w:num w:numId="9" w16cid:durableId="536353818">
    <w:abstractNumId w:val="12"/>
  </w:num>
  <w:num w:numId="10" w16cid:durableId="815997271">
    <w:abstractNumId w:val="14"/>
  </w:num>
  <w:num w:numId="11" w16cid:durableId="178158337">
    <w:abstractNumId w:val="15"/>
  </w:num>
  <w:num w:numId="12" w16cid:durableId="340662414">
    <w:abstractNumId w:val="10"/>
  </w:num>
  <w:num w:numId="13" w16cid:durableId="1697928237">
    <w:abstractNumId w:val="8"/>
  </w:num>
  <w:num w:numId="14" w16cid:durableId="1860194939">
    <w:abstractNumId w:val="0"/>
  </w:num>
  <w:num w:numId="15" w16cid:durableId="327441841">
    <w:abstractNumId w:val="18"/>
  </w:num>
  <w:num w:numId="16" w16cid:durableId="415632961">
    <w:abstractNumId w:val="4"/>
  </w:num>
  <w:num w:numId="17" w16cid:durableId="864103097">
    <w:abstractNumId w:val="1"/>
  </w:num>
  <w:num w:numId="18" w16cid:durableId="26297650">
    <w:abstractNumId w:val="5"/>
  </w:num>
  <w:num w:numId="19" w16cid:durableId="753013368">
    <w:abstractNumId w:val="13"/>
  </w:num>
  <w:num w:numId="20" w16cid:durableId="7825744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51"/>
    <w:rsid w:val="000A6C43"/>
    <w:rsid w:val="000C4F2C"/>
    <w:rsid w:val="000F167B"/>
    <w:rsid w:val="00143245"/>
    <w:rsid w:val="003031BA"/>
    <w:rsid w:val="00354077"/>
    <w:rsid w:val="00533730"/>
    <w:rsid w:val="00956B80"/>
    <w:rsid w:val="00A21A2F"/>
    <w:rsid w:val="00A643CC"/>
    <w:rsid w:val="00D53381"/>
    <w:rsid w:val="00D54240"/>
    <w:rsid w:val="00DC7CF3"/>
    <w:rsid w:val="00F37D51"/>
    <w:rsid w:val="00FD4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48FD0F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D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D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D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D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D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D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D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D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D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D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D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D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D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D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D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D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D51"/>
    <w:rPr>
      <w:rFonts w:eastAsiaTheme="majorEastAsia" w:cstheme="majorBidi"/>
      <w:color w:val="272727" w:themeColor="text1" w:themeTint="D8"/>
    </w:rPr>
  </w:style>
  <w:style w:type="paragraph" w:styleId="Title">
    <w:name w:val="Title"/>
    <w:basedOn w:val="Normal"/>
    <w:next w:val="Normal"/>
    <w:link w:val="TitleChar"/>
    <w:uiPriority w:val="10"/>
    <w:qFormat/>
    <w:rsid w:val="00F37D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D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D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D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D51"/>
    <w:pPr>
      <w:spacing w:before="160"/>
      <w:jc w:val="center"/>
    </w:pPr>
    <w:rPr>
      <w:i/>
      <w:iCs/>
      <w:color w:val="404040" w:themeColor="text1" w:themeTint="BF"/>
    </w:rPr>
  </w:style>
  <w:style w:type="character" w:customStyle="1" w:styleId="QuoteChar">
    <w:name w:val="Quote Char"/>
    <w:basedOn w:val="DefaultParagraphFont"/>
    <w:link w:val="Quote"/>
    <w:uiPriority w:val="29"/>
    <w:rsid w:val="00F37D51"/>
    <w:rPr>
      <w:i/>
      <w:iCs/>
      <w:color w:val="404040" w:themeColor="text1" w:themeTint="BF"/>
    </w:rPr>
  </w:style>
  <w:style w:type="paragraph" w:styleId="ListParagraph">
    <w:name w:val="List Paragraph"/>
    <w:basedOn w:val="Normal"/>
    <w:uiPriority w:val="34"/>
    <w:qFormat/>
    <w:rsid w:val="00F37D51"/>
    <w:pPr>
      <w:ind w:left="720"/>
      <w:contextualSpacing/>
    </w:pPr>
  </w:style>
  <w:style w:type="character" w:styleId="IntenseEmphasis">
    <w:name w:val="Intense Emphasis"/>
    <w:basedOn w:val="DefaultParagraphFont"/>
    <w:uiPriority w:val="21"/>
    <w:qFormat/>
    <w:rsid w:val="00F37D51"/>
    <w:rPr>
      <w:i/>
      <w:iCs/>
      <w:color w:val="0F4761" w:themeColor="accent1" w:themeShade="BF"/>
    </w:rPr>
  </w:style>
  <w:style w:type="paragraph" w:styleId="IntenseQuote">
    <w:name w:val="Intense Quote"/>
    <w:basedOn w:val="Normal"/>
    <w:next w:val="Normal"/>
    <w:link w:val="IntenseQuoteChar"/>
    <w:uiPriority w:val="30"/>
    <w:qFormat/>
    <w:rsid w:val="00F37D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D51"/>
    <w:rPr>
      <w:i/>
      <w:iCs/>
      <w:color w:val="0F4761" w:themeColor="accent1" w:themeShade="BF"/>
    </w:rPr>
  </w:style>
  <w:style w:type="character" w:styleId="IntenseReference">
    <w:name w:val="Intense Reference"/>
    <w:basedOn w:val="DefaultParagraphFont"/>
    <w:uiPriority w:val="32"/>
    <w:qFormat/>
    <w:rsid w:val="00F37D51"/>
    <w:rPr>
      <w:b/>
      <w:bCs/>
      <w:smallCaps/>
      <w:color w:val="0F4761" w:themeColor="accent1" w:themeShade="BF"/>
      <w:spacing w:val="5"/>
    </w:rPr>
  </w:style>
  <w:style w:type="paragraph" w:styleId="Header">
    <w:name w:val="header"/>
    <w:basedOn w:val="Normal"/>
    <w:link w:val="HeaderChar"/>
    <w:uiPriority w:val="99"/>
    <w:unhideWhenUsed/>
    <w:rsid w:val="00F37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D51"/>
  </w:style>
  <w:style w:type="paragraph" w:styleId="Footer">
    <w:name w:val="footer"/>
    <w:basedOn w:val="Normal"/>
    <w:link w:val="FooterChar"/>
    <w:uiPriority w:val="99"/>
    <w:unhideWhenUsed/>
    <w:rsid w:val="00F37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D51"/>
  </w:style>
  <w:style w:type="character" w:styleId="Hyperlink">
    <w:name w:val="Hyperlink"/>
    <w:basedOn w:val="DefaultParagraphFont"/>
    <w:uiPriority w:val="99"/>
    <w:unhideWhenUsed/>
    <w:rsid w:val="000A6C43"/>
    <w:rPr>
      <w:color w:val="467886" w:themeColor="hyperlink"/>
      <w:u w:val="single"/>
    </w:rPr>
  </w:style>
  <w:style w:type="character" w:styleId="UnresolvedMention">
    <w:name w:val="Unresolved Mention"/>
    <w:basedOn w:val="DefaultParagraphFont"/>
    <w:uiPriority w:val="99"/>
    <w:semiHidden/>
    <w:unhideWhenUsed/>
    <w:rsid w:val="000A6C43"/>
    <w:rPr>
      <w:color w:val="605E5C"/>
      <w:shd w:val="clear" w:color="auto" w:fill="E1DFDD"/>
    </w:rPr>
  </w:style>
  <w:style w:type="paragraph" w:styleId="NoSpacing">
    <w:name w:val="No Spacing"/>
    <w:link w:val="NoSpacingChar"/>
    <w:uiPriority w:val="1"/>
    <w:qFormat/>
    <w:rsid w:val="00A21A2F"/>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A21A2F"/>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72720">
      <w:bodyDiv w:val="1"/>
      <w:marLeft w:val="0"/>
      <w:marRight w:val="0"/>
      <w:marTop w:val="0"/>
      <w:marBottom w:val="0"/>
      <w:divBdr>
        <w:top w:val="none" w:sz="0" w:space="0" w:color="auto"/>
        <w:left w:val="none" w:sz="0" w:space="0" w:color="auto"/>
        <w:bottom w:val="none" w:sz="0" w:space="0" w:color="auto"/>
        <w:right w:val="none" w:sz="0" w:space="0" w:color="auto"/>
      </w:divBdr>
      <w:divsChild>
        <w:div w:id="720665448">
          <w:marLeft w:val="0"/>
          <w:marRight w:val="0"/>
          <w:marTop w:val="0"/>
          <w:marBottom w:val="0"/>
          <w:divBdr>
            <w:top w:val="none" w:sz="0" w:space="0" w:color="auto"/>
            <w:left w:val="none" w:sz="0" w:space="0" w:color="auto"/>
            <w:bottom w:val="none" w:sz="0" w:space="0" w:color="auto"/>
            <w:right w:val="none" w:sz="0" w:space="0" w:color="auto"/>
          </w:divBdr>
          <w:divsChild>
            <w:div w:id="1487236865">
              <w:marLeft w:val="0"/>
              <w:marRight w:val="0"/>
              <w:marTop w:val="0"/>
              <w:marBottom w:val="0"/>
              <w:divBdr>
                <w:top w:val="none" w:sz="0" w:space="0" w:color="auto"/>
                <w:left w:val="none" w:sz="0" w:space="0" w:color="auto"/>
                <w:bottom w:val="none" w:sz="0" w:space="0" w:color="auto"/>
                <w:right w:val="none" w:sz="0" w:space="0" w:color="auto"/>
              </w:divBdr>
            </w:div>
          </w:divsChild>
        </w:div>
        <w:div w:id="1142693268">
          <w:marLeft w:val="0"/>
          <w:marRight w:val="0"/>
          <w:marTop w:val="0"/>
          <w:marBottom w:val="0"/>
          <w:divBdr>
            <w:top w:val="none" w:sz="0" w:space="0" w:color="auto"/>
            <w:left w:val="none" w:sz="0" w:space="0" w:color="auto"/>
            <w:bottom w:val="none" w:sz="0" w:space="0" w:color="auto"/>
            <w:right w:val="none" w:sz="0" w:space="0" w:color="auto"/>
          </w:divBdr>
          <w:divsChild>
            <w:div w:id="17636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69017">
      <w:bodyDiv w:val="1"/>
      <w:marLeft w:val="0"/>
      <w:marRight w:val="0"/>
      <w:marTop w:val="0"/>
      <w:marBottom w:val="0"/>
      <w:divBdr>
        <w:top w:val="none" w:sz="0" w:space="0" w:color="auto"/>
        <w:left w:val="none" w:sz="0" w:space="0" w:color="auto"/>
        <w:bottom w:val="none" w:sz="0" w:space="0" w:color="auto"/>
        <w:right w:val="none" w:sz="0" w:space="0" w:color="auto"/>
      </w:divBdr>
    </w:div>
    <w:div w:id="461003157">
      <w:bodyDiv w:val="1"/>
      <w:marLeft w:val="0"/>
      <w:marRight w:val="0"/>
      <w:marTop w:val="0"/>
      <w:marBottom w:val="0"/>
      <w:divBdr>
        <w:top w:val="none" w:sz="0" w:space="0" w:color="auto"/>
        <w:left w:val="none" w:sz="0" w:space="0" w:color="auto"/>
        <w:bottom w:val="none" w:sz="0" w:space="0" w:color="auto"/>
        <w:right w:val="none" w:sz="0" w:space="0" w:color="auto"/>
      </w:divBdr>
    </w:div>
    <w:div w:id="617219753">
      <w:bodyDiv w:val="1"/>
      <w:marLeft w:val="0"/>
      <w:marRight w:val="0"/>
      <w:marTop w:val="0"/>
      <w:marBottom w:val="0"/>
      <w:divBdr>
        <w:top w:val="none" w:sz="0" w:space="0" w:color="auto"/>
        <w:left w:val="none" w:sz="0" w:space="0" w:color="auto"/>
        <w:bottom w:val="none" w:sz="0" w:space="0" w:color="auto"/>
        <w:right w:val="none" w:sz="0" w:space="0" w:color="auto"/>
      </w:divBdr>
      <w:divsChild>
        <w:div w:id="1622225922">
          <w:marLeft w:val="0"/>
          <w:marRight w:val="0"/>
          <w:marTop w:val="0"/>
          <w:marBottom w:val="0"/>
          <w:divBdr>
            <w:top w:val="none" w:sz="0" w:space="0" w:color="auto"/>
            <w:left w:val="none" w:sz="0" w:space="0" w:color="auto"/>
            <w:bottom w:val="none" w:sz="0" w:space="0" w:color="auto"/>
            <w:right w:val="none" w:sz="0" w:space="0" w:color="auto"/>
          </w:divBdr>
          <w:divsChild>
            <w:div w:id="3248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96975">
      <w:bodyDiv w:val="1"/>
      <w:marLeft w:val="0"/>
      <w:marRight w:val="0"/>
      <w:marTop w:val="0"/>
      <w:marBottom w:val="0"/>
      <w:divBdr>
        <w:top w:val="none" w:sz="0" w:space="0" w:color="auto"/>
        <w:left w:val="none" w:sz="0" w:space="0" w:color="auto"/>
        <w:bottom w:val="none" w:sz="0" w:space="0" w:color="auto"/>
        <w:right w:val="none" w:sz="0" w:space="0" w:color="auto"/>
      </w:divBdr>
      <w:divsChild>
        <w:div w:id="1832064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195443">
      <w:bodyDiv w:val="1"/>
      <w:marLeft w:val="0"/>
      <w:marRight w:val="0"/>
      <w:marTop w:val="0"/>
      <w:marBottom w:val="0"/>
      <w:divBdr>
        <w:top w:val="none" w:sz="0" w:space="0" w:color="auto"/>
        <w:left w:val="none" w:sz="0" w:space="0" w:color="auto"/>
        <w:bottom w:val="none" w:sz="0" w:space="0" w:color="auto"/>
        <w:right w:val="none" w:sz="0" w:space="0" w:color="auto"/>
      </w:divBdr>
      <w:divsChild>
        <w:div w:id="681904351">
          <w:marLeft w:val="0"/>
          <w:marRight w:val="0"/>
          <w:marTop w:val="0"/>
          <w:marBottom w:val="0"/>
          <w:divBdr>
            <w:top w:val="none" w:sz="0" w:space="0" w:color="auto"/>
            <w:left w:val="none" w:sz="0" w:space="0" w:color="auto"/>
            <w:bottom w:val="none" w:sz="0" w:space="0" w:color="auto"/>
            <w:right w:val="none" w:sz="0" w:space="0" w:color="auto"/>
          </w:divBdr>
          <w:divsChild>
            <w:div w:id="2742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1603">
      <w:bodyDiv w:val="1"/>
      <w:marLeft w:val="0"/>
      <w:marRight w:val="0"/>
      <w:marTop w:val="0"/>
      <w:marBottom w:val="0"/>
      <w:divBdr>
        <w:top w:val="none" w:sz="0" w:space="0" w:color="auto"/>
        <w:left w:val="none" w:sz="0" w:space="0" w:color="auto"/>
        <w:bottom w:val="none" w:sz="0" w:space="0" w:color="auto"/>
        <w:right w:val="none" w:sz="0" w:space="0" w:color="auto"/>
      </w:divBdr>
      <w:divsChild>
        <w:div w:id="1122311850">
          <w:marLeft w:val="0"/>
          <w:marRight w:val="0"/>
          <w:marTop w:val="0"/>
          <w:marBottom w:val="0"/>
          <w:divBdr>
            <w:top w:val="none" w:sz="0" w:space="0" w:color="auto"/>
            <w:left w:val="none" w:sz="0" w:space="0" w:color="auto"/>
            <w:bottom w:val="none" w:sz="0" w:space="0" w:color="auto"/>
            <w:right w:val="none" w:sz="0" w:space="0" w:color="auto"/>
          </w:divBdr>
          <w:divsChild>
            <w:div w:id="812479351">
              <w:marLeft w:val="0"/>
              <w:marRight w:val="0"/>
              <w:marTop w:val="0"/>
              <w:marBottom w:val="0"/>
              <w:divBdr>
                <w:top w:val="none" w:sz="0" w:space="0" w:color="auto"/>
                <w:left w:val="none" w:sz="0" w:space="0" w:color="auto"/>
                <w:bottom w:val="none" w:sz="0" w:space="0" w:color="auto"/>
                <w:right w:val="none" w:sz="0" w:space="0" w:color="auto"/>
              </w:divBdr>
            </w:div>
          </w:divsChild>
        </w:div>
        <w:div w:id="563371289">
          <w:marLeft w:val="0"/>
          <w:marRight w:val="0"/>
          <w:marTop w:val="0"/>
          <w:marBottom w:val="0"/>
          <w:divBdr>
            <w:top w:val="none" w:sz="0" w:space="0" w:color="auto"/>
            <w:left w:val="none" w:sz="0" w:space="0" w:color="auto"/>
            <w:bottom w:val="none" w:sz="0" w:space="0" w:color="auto"/>
            <w:right w:val="none" w:sz="0" w:space="0" w:color="auto"/>
          </w:divBdr>
          <w:divsChild>
            <w:div w:id="14619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0209">
      <w:bodyDiv w:val="1"/>
      <w:marLeft w:val="0"/>
      <w:marRight w:val="0"/>
      <w:marTop w:val="0"/>
      <w:marBottom w:val="0"/>
      <w:divBdr>
        <w:top w:val="none" w:sz="0" w:space="0" w:color="auto"/>
        <w:left w:val="none" w:sz="0" w:space="0" w:color="auto"/>
        <w:bottom w:val="none" w:sz="0" w:space="0" w:color="auto"/>
        <w:right w:val="none" w:sz="0" w:space="0" w:color="auto"/>
      </w:divBdr>
    </w:div>
    <w:div w:id="1443374573">
      <w:bodyDiv w:val="1"/>
      <w:marLeft w:val="0"/>
      <w:marRight w:val="0"/>
      <w:marTop w:val="0"/>
      <w:marBottom w:val="0"/>
      <w:divBdr>
        <w:top w:val="none" w:sz="0" w:space="0" w:color="auto"/>
        <w:left w:val="none" w:sz="0" w:space="0" w:color="auto"/>
        <w:bottom w:val="none" w:sz="0" w:space="0" w:color="auto"/>
        <w:right w:val="none" w:sz="0" w:space="0" w:color="auto"/>
      </w:divBdr>
      <w:divsChild>
        <w:div w:id="160392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8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ecgravity.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https://clipground.com/placeholder-logo.html"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724</Words>
  <Characters>4133</Characters>
  <Application>Microsoft Office Word</Application>
  <DocSecurity>0</DocSecurity>
  <Lines>34</Lines>
  <Paragraphs>9</Paragraphs>
  <ScaleCrop>false</ScaleCrop>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2025-04-29T15:00:00Z</dcterms:created>
  <dcterms:modified xsi:type="dcterms:W3CDTF">2025-04-29T15:15:00Z</dcterms:modified>
</cp:coreProperties>
</file>